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F2" w:rsidRPr="00E127E1" w:rsidRDefault="00B617F2" w:rsidP="00740B60">
      <w:pPr>
        <w:pStyle w:val="Ttulo2"/>
        <w:spacing w:before="0" w:after="0" w:line="288" w:lineRule="auto"/>
        <w:jc w:val="center"/>
        <w:rPr>
          <w:rFonts w:ascii="Calibri" w:hAnsi="Calibri" w:cs="Tahoma"/>
          <w:i w:val="0"/>
          <w:sz w:val="24"/>
          <w:szCs w:val="24"/>
          <w:u w:val="single"/>
        </w:rPr>
      </w:pPr>
      <w:r w:rsidRPr="00E127E1">
        <w:rPr>
          <w:rFonts w:ascii="Calibri" w:hAnsi="Calibri" w:cs="Tahoma"/>
          <w:i w:val="0"/>
          <w:sz w:val="24"/>
          <w:szCs w:val="24"/>
          <w:u w:val="single"/>
        </w:rPr>
        <w:t>151 OFICINA DE PROYECTOS EUROPEOS</w:t>
      </w:r>
      <w:r w:rsidR="000126BE" w:rsidRPr="00E127E1">
        <w:rPr>
          <w:rFonts w:ascii="Calibri" w:hAnsi="Calibri" w:cs="Tahoma"/>
          <w:i w:val="0"/>
          <w:sz w:val="24"/>
          <w:szCs w:val="24"/>
          <w:u w:val="single"/>
        </w:rPr>
        <w:t xml:space="preserve"> PARA EL DESARROLLO LOCAL</w:t>
      </w:r>
    </w:p>
    <w:p w:rsidR="000126BE" w:rsidRDefault="000126BE" w:rsidP="00740B60">
      <w:pPr>
        <w:spacing w:line="288" w:lineRule="auto"/>
      </w:pPr>
    </w:p>
    <w:p w:rsidR="00740B60" w:rsidRPr="00E127E1" w:rsidRDefault="00740B60" w:rsidP="00740B60">
      <w:pPr>
        <w:spacing w:line="288" w:lineRule="auto"/>
      </w:pPr>
    </w:p>
    <w:p w:rsidR="000126BE" w:rsidRPr="00E127E1" w:rsidRDefault="000126BE" w:rsidP="00740B60">
      <w:pPr>
        <w:pStyle w:val="Ttulo5"/>
        <w:spacing w:before="0" w:after="0" w:line="288" w:lineRule="auto"/>
        <w:jc w:val="both"/>
        <w:rPr>
          <w:rFonts w:ascii="Calibri" w:hAnsi="Calibri" w:cs="Tahoma"/>
          <w:i w:val="0"/>
          <w:sz w:val="22"/>
          <w:szCs w:val="22"/>
        </w:rPr>
      </w:pPr>
      <w:r w:rsidRPr="00E127E1">
        <w:rPr>
          <w:rFonts w:ascii="Calibri" w:hAnsi="Calibri" w:cs="Tahoma"/>
          <w:i w:val="0"/>
          <w:sz w:val="22"/>
          <w:szCs w:val="22"/>
        </w:rPr>
        <w:t>1516 Asistencia para la captación y gestión de recursos europeos para el empleo y el desarrollo local, difusión de información de interés y formación en asuntos europeos</w:t>
      </w:r>
    </w:p>
    <w:p w:rsidR="00A229F8" w:rsidRPr="00E127E1" w:rsidRDefault="00A229F8" w:rsidP="00740B60">
      <w:pPr>
        <w:spacing w:line="288" w:lineRule="auto"/>
      </w:pPr>
    </w:p>
    <w:p w:rsidR="00A229F8" w:rsidRPr="00E127E1" w:rsidRDefault="00A229F8" w:rsidP="00740B60">
      <w:pPr>
        <w:pStyle w:val="Ttulo5"/>
        <w:spacing w:before="0" w:after="0" w:line="288" w:lineRule="auto"/>
        <w:jc w:val="both"/>
        <w:rPr>
          <w:rFonts w:ascii="Calibri" w:hAnsi="Calibri" w:cs="Tahoma"/>
          <w:i w:val="0"/>
          <w:sz w:val="22"/>
          <w:szCs w:val="22"/>
        </w:rPr>
      </w:pPr>
      <w:r w:rsidRPr="00E127E1">
        <w:rPr>
          <w:rFonts w:ascii="Calibri" w:hAnsi="Calibri" w:cs="Tahoma"/>
          <w:i w:val="0"/>
          <w:sz w:val="22"/>
          <w:szCs w:val="22"/>
        </w:rPr>
        <w:t>1516C Captación de fondos europeos para el desarrollo de la provincia por las entidades locales y actuaciones para facilitar la gestión de dichos fondos: difusión de información, asesoramiento, formación</w:t>
      </w:r>
    </w:p>
    <w:p w:rsidR="000126BE" w:rsidRPr="00E127E1" w:rsidRDefault="000126BE" w:rsidP="00740B60">
      <w:pPr>
        <w:spacing w:line="288" w:lineRule="auto"/>
      </w:pPr>
    </w:p>
    <w:p w:rsidR="00B617F2" w:rsidRPr="00E127E1" w:rsidRDefault="00B617F2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  <w:r w:rsidRPr="00E127E1">
        <w:rPr>
          <w:rFonts w:ascii="Calibri" w:hAnsi="Calibri" w:cs="Tahoma"/>
          <w:b/>
          <w:sz w:val="22"/>
          <w:szCs w:val="22"/>
        </w:rPr>
        <w:t>1. OBJETO Y DESCRIPCIÓN</w:t>
      </w:r>
    </w:p>
    <w:p w:rsidR="005B335B" w:rsidRPr="00E127E1" w:rsidRDefault="005B335B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B617F2" w:rsidRPr="00E127E1" w:rsidRDefault="000126BE" w:rsidP="00740B60">
      <w:pPr>
        <w:spacing w:line="288" w:lineRule="auto"/>
        <w:ind w:firstLine="360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Incrementar la captación de fondos europeos para el desarrollo de la provincia por las entidades locales, así como facilitar la gestión de dichos fondos.</w:t>
      </w:r>
    </w:p>
    <w:p w:rsidR="000126BE" w:rsidRPr="00E127E1" w:rsidRDefault="000126BE" w:rsidP="00740B60">
      <w:pPr>
        <w:spacing w:line="288" w:lineRule="auto"/>
        <w:ind w:firstLine="708"/>
        <w:jc w:val="both"/>
        <w:rPr>
          <w:rFonts w:ascii="Calibri" w:hAnsi="Calibri" w:cs="Tahoma"/>
          <w:sz w:val="22"/>
          <w:szCs w:val="22"/>
          <w:lang w:val="es-ES_tradnl"/>
        </w:rPr>
      </w:pPr>
    </w:p>
    <w:p w:rsidR="000126BE" w:rsidRPr="00E127E1" w:rsidRDefault="000126BE" w:rsidP="00740B60">
      <w:pPr>
        <w:suppressAutoHyphens/>
        <w:spacing w:line="288" w:lineRule="auto"/>
        <w:ind w:firstLine="360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Incluye:</w:t>
      </w:r>
    </w:p>
    <w:p w:rsidR="000126BE" w:rsidRPr="00E127E1" w:rsidRDefault="000126BE" w:rsidP="00740B60">
      <w:pPr>
        <w:suppressAutoHyphens/>
        <w:spacing w:line="288" w:lineRule="auto"/>
        <w:ind w:firstLine="360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0126BE" w:rsidRPr="00E127E1" w:rsidRDefault="000126BE" w:rsidP="00740B60">
      <w:pPr>
        <w:numPr>
          <w:ilvl w:val="0"/>
          <w:numId w:val="29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Información sobre convocatorias de ayudas, programas de la Unión Europea y proyectos europeos en los que participar.</w:t>
      </w:r>
    </w:p>
    <w:p w:rsidR="000126BE" w:rsidRPr="00E127E1" w:rsidRDefault="000126BE" w:rsidP="00740B60">
      <w:pPr>
        <w:numPr>
          <w:ilvl w:val="0"/>
          <w:numId w:val="29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Formación para personal técnico de entidades locales en materia de fondos, políticas y programas europeos.</w:t>
      </w:r>
    </w:p>
    <w:p w:rsidR="000126BE" w:rsidRPr="00E127E1" w:rsidRDefault="000126BE" w:rsidP="00740B60">
      <w:pPr>
        <w:numPr>
          <w:ilvl w:val="0"/>
          <w:numId w:val="29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Asistencia técnica para la captación, gestión y justificación de recursos europeos y la participación en redes de trabajo transnacional</w:t>
      </w:r>
      <w:r w:rsidR="00993614" w:rsidRPr="00E127E1">
        <w:rPr>
          <w:rFonts w:ascii="Calibri" w:hAnsi="Calibri" w:cs="Bookman Old Style"/>
          <w:sz w:val="22"/>
          <w:szCs w:val="22"/>
          <w:lang w:eastAsia="ar-SA"/>
        </w:rPr>
        <w:t>.</w:t>
      </w:r>
    </w:p>
    <w:p w:rsidR="000126BE" w:rsidRPr="00E127E1" w:rsidRDefault="000126BE" w:rsidP="00740B60">
      <w:p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</w:p>
    <w:p w:rsidR="000126BE" w:rsidRPr="00E127E1" w:rsidRDefault="000126BE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  <w:r w:rsidRPr="00E127E1">
        <w:rPr>
          <w:rFonts w:ascii="Calibri" w:hAnsi="Calibri" w:cs="Tahoma"/>
          <w:b/>
          <w:sz w:val="22"/>
          <w:szCs w:val="22"/>
        </w:rPr>
        <w:t>2. ACTUACIONES</w:t>
      </w:r>
    </w:p>
    <w:p w:rsidR="000126BE" w:rsidRPr="00E127E1" w:rsidRDefault="000126BE" w:rsidP="00740B60">
      <w:p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Difusión de información sobre convocatorias de fondos y programas de la Unión Europea y de proyectos europeos en los que participar.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Identificación de necesidades y de proyectos susceptibles de recibir financiación europea.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Asesoramiento sobre pasos a desarrollar para la participación en proyectos europeos: búsqueda de socios transnacionales, cumplimiento de elementos clave de las convocatorias, procedimientos...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Identificación de proyectos o redes transnacionales vinculados con el desarrollo local y asistencia en el proceso de adhesión.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>Acciones formativas para personal técnico de entidades locales en materia de fondos y programas europeos: identificación de fondos y programas, trámites a seguir, elementos clave de las convocatorias, etc.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 xml:space="preserve">Acciones formativas en materia de políticas europeas clave para proyectos de desarrollo local 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t xml:space="preserve">Difusión de información de ámbito europeo en materia de desarrollo local, empleo y movilidad en la UE: Boletín “Europa Directo”, soporte para la difusión de información por los técnicos locales a la ciudadanía. </w:t>
      </w:r>
    </w:p>
    <w:p w:rsidR="00993614" w:rsidRPr="00E127E1" w:rsidRDefault="00993614" w:rsidP="00740B60">
      <w:pPr>
        <w:numPr>
          <w:ilvl w:val="0"/>
          <w:numId w:val="30"/>
        </w:num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127E1">
        <w:rPr>
          <w:rFonts w:ascii="Calibri" w:hAnsi="Calibri" w:cs="Tahoma"/>
          <w:sz w:val="22"/>
          <w:szCs w:val="22"/>
          <w:lang w:val="es-ES_tradnl"/>
        </w:rPr>
        <w:lastRenderedPageBreak/>
        <w:t>Asesoramiento sobre cuestiones clave de la gestión y justificación de proyectos con financiación europea.</w:t>
      </w:r>
    </w:p>
    <w:p w:rsidR="00993614" w:rsidRPr="00E127E1" w:rsidRDefault="00993614" w:rsidP="00740B60">
      <w:pPr>
        <w:spacing w:line="288" w:lineRule="auto"/>
        <w:jc w:val="both"/>
        <w:rPr>
          <w:rFonts w:ascii="Calibri" w:hAnsi="Calibri" w:cs="Tahoma"/>
          <w:sz w:val="22"/>
          <w:szCs w:val="22"/>
          <w:lang w:val="es-ES_tradnl"/>
        </w:rPr>
      </w:pP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b/>
          <w:bCs/>
          <w:sz w:val="22"/>
          <w:szCs w:val="22"/>
          <w:lang w:eastAsia="ar-SA"/>
        </w:rPr>
        <w:t>3. DESTINATARIOS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suppressAutoHyphens/>
        <w:spacing w:line="288" w:lineRule="auto"/>
        <w:ind w:firstLine="426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Entidades locales de la provincia de Granada.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b/>
          <w:bCs/>
          <w:sz w:val="22"/>
          <w:szCs w:val="22"/>
          <w:lang w:eastAsia="ar-SA"/>
        </w:rPr>
        <w:t>4. COMPROMISOS ASUMIR POR LAS ENTIDADES LOCALES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Indicar una persona de contacto para el programa.</w:t>
      </w: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 xml:space="preserve">Facilitar la información necesaria para la prestación de la asistencia. </w:t>
      </w: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Colaborar en las posibles visitas y entrevistas directas del personal técnico de Diputación.</w:t>
      </w: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Contribuir en la difusión de información de interés en su respectivo ámbito local.</w:t>
      </w: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Aportación de instalaciones y medios didácticos adecuados, así como contribución para captar asistentes, en caso de actividades formativas en el municipio.</w:t>
      </w:r>
    </w:p>
    <w:p w:rsidR="00993614" w:rsidRPr="00E127E1" w:rsidRDefault="00993614" w:rsidP="00740B60">
      <w:pPr>
        <w:numPr>
          <w:ilvl w:val="0"/>
          <w:numId w:val="35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 xml:space="preserve">En caso de entidades supramunicipales, proporcionar a su personal las orientaciones necesarias para la colaboración entre todos los ayuntamientos. 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b/>
          <w:bCs/>
          <w:sz w:val="22"/>
          <w:szCs w:val="22"/>
          <w:lang w:eastAsia="ar-SA"/>
        </w:rPr>
        <w:t>5. FINANCIACIÓN</w:t>
      </w:r>
    </w:p>
    <w:p w:rsidR="00993614" w:rsidRPr="00E127E1" w:rsidRDefault="00993614" w:rsidP="00740B60">
      <w:pPr>
        <w:suppressAutoHyphens/>
        <w:spacing w:line="288" w:lineRule="auto"/>
        <w:ind w:firstLine="426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suppressAutoHyphens/>
        <w:spacing w:line="288" w:lineRule="auto"/>
        <w:ind w:firstLine="426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El servicio no implica coste alguno para las entidades locales. El valor de la asistencia técnica prestada se estima</w:t>
      </w:r>
      <w:r w:rsidRPr="00E127E1">
        <w:t xml:space="preserve"> </w:t>
      </w:r>
      <w:r w:rsidRPr="00E127E1">
        <w:rPr>
          <w:rFonts w:ascii="Calibri" w:hAnsi="Calibri" w:cs="Bookman Old Style"/>
          <w:sz w:val="22"/>
          <w:szCs w:val="22"/>
          <w:lang w:eastAsia="ar-SA"/>
        </w:rPr>
        <w:t>en un margen entre 600€ y 3.000 €.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740B60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>
        <w:rPr>
          <w:rFonts w:ascii="Calibri" w:hAnsi="Calibri" w:cs="Bookman Old Style"/>
          <w:b/>
          <w:bCs/>
          <w:sz w:val="22"/>
          <w:szCs w:val="22"/>
          <w:lang w:eastAsia="ar-SA"/>
        </w:rPr>
        <w:t>6</w:t>
      </w:r>
      <w:r w:rsidR="00993614" w:rsidRPr="00E127E1">
        <w:rPr>
          <w:rFonts w:ascii="Calibri" w:hAnsi="Calibri" w:cs="Bookman Old Style"/>
          <w:b/>
          <w:bCs/>
          <w:sz w:val="22"/>
          <w:szCs w:val="22"/>
          <w:lang w:eastAsia="ar-SA"/>
        </w:rPr>
        <w:t>. CRITERIOS DE VALORACIÓN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993614" w:rsidRPr="00E127E1" w:rsidRDefault="00993614" w:rsidP="00740B60">
      <w:pPr>
        <w:spacing w:line="288" w:lineRule="auto"/>
        <w:ind w:firstLine="426"/>
        <w:contextualSpacing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E127E1">
        <w:rPr>
          <w:rFonts w:ascii="Calibri" w:hAnsi="Calibri"/>
          <w:bCs/>
          <w:sz w:val="22"/>
          <w:szCs w:val="22"/>
          <w:lang w:eastAsia="en-U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993614" w:rsidRPr="00E127E1" w:rsidRDefault="00993614" w:rsidP="00740B60">
      <w:pPr>
        <w:spacing w:line="288" w:lineRule="auto"/>
        <w:ind w:firstLine="426"/>
        <w:contextualSpacing/>
        <w:rPr>
          <w:rFonts w:ascii="Calibri" w:hAnsi="Calibri"/>
          <w:sz w:val="22"/>
          <w:szCs w:val="22"/>
          <w:lang w:eastAsia="en-US"/>
        </w:rPr>
      </w:pPr>
    </w:p>
    <w:p w:rsidR="00993614" w:rsidRPr="00E127E1" w:rsidRDefault="00993614" w:rsidP="00740B60">
      <w:pPr>
        <w:spacing w:line="288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E127E1">
        <w:rPr>
          <w:rFonts w:ascii="Calibri" w:hAnsi="Calibri"/>
          <w:bCs/>
          <w:sz w:val="22"/>
          <w:szCs w:val="22"/>
          <w:lang w:eastAsia="en-US"/>
        </w:rPr>
        <w:t>Así mismo se establecen como criterios específicos de este programa los siguientes:</w:t>
      </w:r>
    </w:p>
    <w:p w:rsidR="00993614" w:rsidRPr="00E127E1" w:rsidRDefault="00993614" w:rsidP="00740B60">
      <w:pPr>
        <w:spacing w:line="288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</w:p>
    <w:p w:rsidR="00993614" w:rsidRPr="00E127E1" w:rsidRDefault="00993614" w:rsidP="00740B60">
      <w:pPr>
        <w:numPr>
          <w:ilvl w:val="0"/>
          <w:numId w:val="36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Capacidad financiera y técnica de las entidades locales para la autogestión de proyectos europeos</w:t>
      </w:r>
    </w:p>
    <w:p w:rsidR="00993614" w:rsidRPr="00E127E1" w:rsidRDefault="00993614" w:rsidP="00740B60">
      <w:pPr>
        <w:numPr>
          <w:ilvl w:val="0"/>
          <w:numId w:val="36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En caso de entidades locales con escasa capacida</w:t>
      </w:r>
      <w:bookmarkStart w:id="0" w:name="_GoBack"/>
      <w:bookmarkEnd w:id="0"/>
      <w:r w:rsidRPr="00E127E1">
        <w:rPr>
          <w:rFonts w:ascii="Calibri" w:hAnsi="Calibri" w:cs="Bookman Old Style"/>
          <w:sz w:val="22"/>
          <w:szCs w:val="22"/>
          <w:lang w:eastAsia="ar-SA"/>
        </w:rPr>
        <w:t>d, se priorizarán las solicitudes promovidas por agrupaciones de municipios, para gestionar proyectos de más entidad</w:t>
      </w:r>
    </w:p>
    <w:p w:rsidR="00993614" w:rsidRPr="00E127E1" w:rsidRDefault="00993614" w:rsidP="00740B60">
      <w:pPr>
        <w:numPr>
          <w:ilvl w:val="0"/>
          <w:numId w:val="36"/>
        </w:num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  <w:r w:rsidRPr="00E127E1">
        <w:rPr>
          <w:rFonts w:ascii="Calibri" w:hAnsi="Calibri" w:cs="Bookman Old Style"/>
          <w:sz w:val="22"/>
          <w:szCs w:val="22"/>
          <w:lang w:eastAsia="ar-SA"/>
        </w:rPr>
        <w:t>Complementariedad con actuaciones de otras administraciones públicas, evitando la duplicidad.</w:t>
      </w:r>
    </w:p>
    <w:p w:rsidR="00993614" w:rsidRPr="00E127E1" w:rsidRDefault="00993614" w:rsidP="00740B60">
      <w:pPr>
        <w:suppressAutoHyphens/>
        <w:spacing w:line="288" w:lineRule="auto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B617F2" w:rsidRPr="00E127E1" w:rsidRDefault="00B617F2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  <w:r w:rsidRPr="00E127E1">
        <w:rPr>
          <w:rFonts w:ascii="Calibri" w:hAnsi="Calibri" w:cs="Tahoma"/>
          <w:b/>
          <w:sz w:val="22"/>
          <w:szCs w:val="22"/>
        </w:rPr>
        <w:t>Persona responsable del programa:</w:t>
      </w:r>
    </w:p>
    <w:p w:rsidR="00B617F2" w:rsidRPr="00E127E1" w:rsidRDefault="00B617F2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E526BC" w:rsidRPr="00536AFD" w:rsidRDefault="00B617F2" w:rsidP="00740B60">
      <w:pPr>
        <w:spacing w:line="288" w:lineRule="auto"/>
        <w:jc w:val="both"/>
        <w:rPr>
          <w:rFonts w:ascii="Calibri" w:hAnsi="Calibri" w:cs="Tahoma"/>
          <w:b/>
          <w:sz w:val="22"/>
          <w:szCs w:val="22"/>
          <w:u w:val="single"/>
          <w:lang w:val="pt-BR"/>
        </w:rPr>
      </w:pPr>
      <w:r w:rsidRPr="00E127E1">
        <w:rPr>
          <w:rFonts w:ascii="Calibri" w:hAnsi="Calibri" w:cs="Tahoma"/>
          <w:bCs/>
          <w:sz w:val="22"/>
          <w:szCs w:val="22"/>
          <w:lang w:val="pt-BR"/>
        </w:rPr>
        <w:t xml:space="preserve">Myriam Prieto Labra  </w:t>
      </w:r>
      <w:r w:rsidR="005B335B" w:rsidRPr="00E127E1">
        <w:rPr>
          <w:rFonts w:ascii="Calibri" w:hAnsi="Calibri" w:cs="Tahoma"/>
          <w:bCs/>
          <w:sz w:val="22"/>
          <w:szCs w:val="22"/>
          <w:lang w:val="pt-BR"/>
        </w:rPr>
        <w:t xml:space="preserve">     </w:t>
      </w:r>
      <w:r w:rsidRPr="00E127E1">
        <w:rPr>
          <w:rFonts w:ascii="Calibri" w:hAnsi="Calibri" w:cs="Tahoma"/>
          <w:bCs/>
          <w:sz w:val="22"/>
          <w:szCs w:val="22"/>
          <w:lang w:val="pt-BR"/>
        </w:rPr>
        <w:t xml:space="preserve"> Tfno.: 958 247 867   </w:t>
      </w:r>
      <w:r w:rsidR="005B335B" w:rsidRPr="00E127E1">
        <w:rPr>
          <w:rFonts w:ascii="Calibri" w:hAnsi="Calibri" w:cs="Tahoma"/>
          <w:bCs/>
          <w:sz w:val="22"/>
          <w:szCs w:val="22"/>
          <w:lang w:val="pt-BR"/>
        </w:rPr>
        <w:t xml:space="preserve">     </w:t>
      </w:r>
      <w:r w:rsidRPr="00E127E1">
        <w:rPr>
          <w:rFonts w:ascii="Calibri" w:hAnsi="Calibri" w:cs="Tahoma"/>
          <w:bCs/>
          <w:sz w:val="22"/>
          <w:szCs w:val="22"/>
          <w:lang w:val="pt-BR"/>
        </w:rPr>
        <w:t xml:space="preserve"> Email: </w:t>
      </w:r>
      <w:hyperlink r:id="rId7" w:history="1">
        <w:r w:rsidRPr="00E127E1">
          <w:rPr>
            <w:rStyle w:val="Hipervnculo"/>
            <w:rFonts w:ascii="Calibri" w:hAnsi="Calibri" w:cs="Tahoma"/>
            <w:bCs/>
            <w:color w:val="auto"/>
            <w:sz w:val="22"/>
            <w:szCs w:val="22"/>
            <w:u w:val="none"/>
            <w:lang w:val="pt-BR"/>
          </w:rPr>
          <w:t>mprieto@dipgra.es</w:t>
        </w:r>
      </w:hyperlink>
      <w:r w:rsidRPr="00536AFD">
        <w:rPr>
          <w:rFonts w:ascii="Calibri" w:hAnsi="Calibri" w:cs="Tahoma"/>
          <w:bCs/>
          <w:sz w:val="22"/>
          <w:szCs w:val="22"/>
          <w:lang w:val="pt-BR"/>
        </w:rPr>
        <w:t xml:space="preserve"> </w:t>
      </w:r>
    </w:p>
    <w:sectPr w:rsidR="00E526BC" w:rsidRPr="00536AFD" w:rsidSect="005B335B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7B" w:rsidRDefault="008A047B">
      <w:r>
        <w:separator/>
      </w:r>
    </w:p>
  </w:endnote>
  <w:endnote w:type="continuationSeparator" w:id="0">
    <w:p w:rsidR="008A047B" w:rsidRDefault="008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7B" w:rsidRDefault="008A047B">
      <w:r>
        <w:separator/>
      </w:r>
    </w:p>
  </w:footnote>
  <w:footnote w:type="continuationSeparator" w:id="0">
    <w:p w:rsidR="008A047B" w:rsidRDefault="008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3921642"/>
    <w:multiLevelType w:val="hybridMultilevel"/>
    <w:tmpl w:val="4740D91A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73F0"/>
    <w:multiLevelType w:val="multilevel"/>
    <w:tmpl w:val="EE389792"/>
    <w:lvl w:ilvl="0">
      <w:start w:val="5"/>
      <w:numFmt w:val="bullet"/>
      <w:lvlText w:val="-"/>
      <w:lvlJc w:val="left"/>
      <w:pPr>
        <w:tabs>
          <w:tab w:val="num" w:pos="1275"/>
        </w:tabs>
        <w:ind w:left="1275" w:hanging="567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" w15:restartNumberingAfterBreak="0">
    <w:nsid w:val="0A1B720C"/>
    <w:multiLevelType w:val="hybridMultilevel"/>
    <w:tmpl w:val="F34406AE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0AC8491A"/>
    <w:multiLevelType w:val="hybridMultilevel"/>
    <w:tmpl w:val="51CA3B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17BC"/>
    <w:multiLevelType w:val="hybridMultilevel"/>
    <w:tmpl w:val="5E1CBC56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AA4"/>
    <w:multiLevelType w:val="hybridMultilevel"/>
    <w:tmpl w:val="12046EB8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6A9"/>
    <w:multiLevelType w:val="hybridMultilevel"/>
    <w:tmpl w:val="2C762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953"/>
    <w:multiLevelType w:val="hybridMultilevel"/>
    <w:tmpl w:val="A052DE22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5974"/>
    <w:multiLevelType w:val="hybridMultilevel"/>
    <w:tmpl w:val="0A420830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2B757147"/>
    <w:multiLevelType w:val="hybridMultilevel"/>
    <w:tmpl w:val="28304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1DA1"/>
    <w:multiLevelType w:val="hybridMultilevel"/>
    <w:tmpl w:val="1DBAC3A0"/>
    <w:lvl w:ilvl="0" w:tplc="52DC113C">
      <w:start w:val="1"/>
      <w:numFmt w:val="upperLetter"/>
      <w:lvlText w:val="%1."/>
      <w:lvlJc w:val="left"/>
      <w:pPr>
        <w:ind w:left="150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2ED6329"/>
    <w:multiLevelType w:val="hybridMultilevel"/>
    <w:tmpl w:val="F5149D20"/>
    <w:lvl w:ilvl="0" w:tplc="6C9C3A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CB2565"/>
    <w:multiLevelType w:val="hybridMultilevel"/>
    <w:tmpl w:val="A572B9A8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9616B"/>
    <w:multiLevelType w:val="hybridMultilevel"/>
    <w:tmpl w:val="20DAB276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0A8D"/>
    <w:multiLevelType w:val="hybridMultilevel"/>
    <w:tmpl w:val="08C007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A7B3F3B"/>
    <w:multiLevelType w:val="hybridMultilevel"/>
    <w:tmpl w:val="E402AA14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17" w15:restartNumberingAfterBreak="0">
    <w:nsid w:val="3B875ED3"/>
    <w:multiLevelType w:val="hybridMultilevel"/>
    <w:tmpl w:val="1C3ED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19F5"/>
    <w:multiLevelType w:val="hybridMultilevel"/>
    <w:tmpl w:val="17020084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259D1"/>
    <w:multiLevelType w:val="hybridMultilevel"/>
    <w:tmpl w:val="EB3C1FFE"/>
    <w:lvl w:ilvl="0" w:tplc="8EB683D2">
      <w:start w:val="1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Bookman Old Styl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24B4F"/>
    <w:multiLevelType w:val="hybridMultilevel"/>
    <w:tmpl w:val="A3BCCF5A"/>
    <w:lvl w:ilvl="0" w:tplc="7D9072F6">
      <w:start w:val="5"/>
      <w:numFmt w:val="bullet"/>
      <w:lvlText w:val="-"/>
      <w:lvlJc w:val="left"/>
      <w:pPr>
        <w:tabs>
          <w:tab w:val="num" w:pos="1275"/>
        </w:tabs>
        <w:ind w:left="1275" w:hanging="56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51A05"/>
    <w:multiLevelType w:val="hybridMultilevel"/>
    <w:tmpl w:val="E794D06E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A1E10"/>
    <w:multiLevelType w:val="hybridMultilevel"/>
    <w:tmpl w:val="5DD2A352"/>
    <w:lvl w:ilvl="0" w:tplc="ED847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A8698">
      <w:numFmt w:val="none"/>
      <w:lvlText w:val=""/>
      <w:lvlJc w:val="left"/>
      <w:pPr>
        <w:tabs>
          <w:tab w:val="num" w:pos="360"/>
        </w:tabs>
      </w:pPr>
    </w:lvl>
    <w:lvl w:ilvl="2" w:tplc="FCE0E93E">
      <w:numFmt w:val="none"/>
      <w:lvlText w:val=""/>
      <w:lvlJc w:val="left"/>
      <w:pPr>
        <w:tabs>
          <w:tab w:val="num" w:pos="360"/>
        </w:tabs>
      </w:pPr>
    </w:lvl>
    <w:lvl w:ilvl="3" w:tplc="B1E8943E">
      <w:numFmt w:val="none"/>
      <w:lvlText w:val=""/>
      <w:lvlJc w:val="left"/>
      <w:pPr>
        <w:tabs>
          <w:tab w:val="num" w:pos="360"/>
        </w:tabs>
      </w:pPr>
    </w:lvl>
    <w:lvl w:ilvl="4" w:tplc="8A9AC7DA">
      <w:numFmt w:val="none"/>
      <w:lvlText w:val=""/>
      <w:lvlJc w:val="left"/>
      <w:pPr>
        <w:tabs>
          <w:tab w:val="num" w:pos="360"/>
        </w:tabs>
      </w:pPr>
    </w:lvl>
    <w:lvl w:ilvl="5" w:tplc="73D661E4">
      <w:numFmt w:val="none"/>
      <w:lvlText w:val=""/>
      <w:lvlJc w:val="left"/>
      <w:pPr>
        <w:tabs>
          <w:tab w:val="num" w:pos="360"/>
        </w:tabs>
      </w:pPr>
    </w:lvl>
    <w:lvl w:ilvl="6" w:tplc="D222ED78">
      <w:numFmt w:val="none"/>
      <w:lvlText w:val=""/>
      <w:lvlJc w:val="left"/>
      <w:pPr>
        <w:tabs>
          <w:tab w:val="num" w:pos="360"/>
        </w:tabs>
      </w:pPr>
    </w:lvl>
    <w:lvl w:ilvl="7" w:tplc="A8A41BFA">
      <w:numFmt w:val="none"/>
      <w:lvlText w:val=""/>
      <w:lvlJc w:val="left"/>
      <w:pPr>
        <w:tabs>
          <w:tab w:val="num" w:pos="360"/>
        </w:tabs>
      </w:pPr>
    </w:lvl>
    <w:lvl w:ilvl="8" w:tplc="8D022FE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EB1B4D"/>
    <w:multiLevelType w:val="hybridMultilevel"/>
    <w:tmpl w:val="25EA05AA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C57A9"/>
    <w:multiLevelType w:val="hybridMultilevel"/>
    <w:tmpl w:val="D6B0BB06"/>
    <w:lvl w:ilvl="0" w:tplc="819E20D2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4B03D9"/>
    <w:multiLevelType w:val="hybridMultilevel"/>
    <w:tmpl w:val="99806B32"/>
    <w:lvl w:ilvl="0" w:tplc="CD9C4D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ACF08C8"/>
    <w:multiLevelType w:val="hybridMultilevel"/>
    <w:tmpl w:val="1346D17E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95C2C"/>
    <w:multiLevelType w:val="hybridMultilevel"/>
    <w:tmpl w:val="7BE4573A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07B51"/>
    <w:multiLevelType w:val="hybridMultilevel"/>
    <w:tmpl w:val="2722C27E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9187F"/>
    <w:multiLevelType w:val="hybridMultilevel"/>
    <w:tmpl w:val="D1DC6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62859"/>
    <w:multiLevelType w:val="hybridMultilevel"/>
    <w:tmpl w:val="28001512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CC80CF7"/>
    <w:multiLevelType w:val="hybridMultilevel"/>
    <w:tmpl w:val="29086C72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501B3"/>
    <w:multiLevelType w:val="hybridMultilevel"/>
    <w:tmpl w:val="DE60AFA2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47F98"/>
    <w:multiLevelType w:val="hybridMultilevel"/>
    <w:tmpl w:val="57E419F2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B7776"/>
    <w:multiLevelType w:val="hybridMultilevel"/>
    <w:tmpl w:val="863C24B6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E7EA6"/>
    <w:multiLevelType w:val="hybridMultilevel"/>
    <w:tmpl w:val="003EA90E"/>
    <w:lvl w:ilvl="0" w:tplc="7D9072F6">
      <w:start w:val="5"/>
      <w:numFmt w:val="bullet"/>
      <w:lvlText w:val="-"/>
      <w:lvlJc w:val="left"/>
      <w:pPr>
        <w:tabs>
          <w:tab w:val="num" w:pos="1275"/>
        </w:tabs>
        <w:ind w:left="1275" w:hanging="56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4"/>
  </w:num>
  <w:num w:numId="5">
    <w:abstractNumId w:val="26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28"/>
  </w:num>
  <w:num w:numId="11">
    <w:abstractNumId w:val="33"/>
  </w:num>
  <w:num w:numId="12">
    <w:abstractNumId w:val="16"/>
  </w:num>
  <w:num w:numId="13">
    <w:abstractNumId w:val="9"/>
  </w:num>
  <w:num w:numId="14">
    <w:abstractNumId w:val="30"/>
  </w:num>
  <w:num w:numId="15">
    <w:abstractNumId w:val="34"/>
  </w:num>
  <w:num w:numId="16">
    <w:abstractNumId w:val="14"/>
  </w:num>
  <w:num w:numId="17">
    <w:abstractNumId w:val="23"/>
  </w:num>
  <w:num w:numId="18">
    <w:abstractNumId w:val="18"/>
  </w:num>
  <w:num w:numId="19">
    <w:abstractNumId w:val="21"/>
  </w:num>
  <w:num w:numId="20">
    <w:abstractNumId w:val="27"/>
  </w:num>
  <w:num w:numId="21">
    <w:abstractNumId w:val="31"/>
  </w:num>
  <w:num w:numId="22">
    <w:abstractNumId w:val="13"/>
  </w:num>
  <w:num w:numId="23">
    <w:abstractNumId w:val="35"/>
  </w:num>
  <w:num w:numId="24">
    <w:abstractNumId w:val="20"/>
  </w:num>
  <w:num w:numId="25">
    <w:abstractNumId w:val="32"/>
  </w:num>
  <w:num w:numId="26">
    <w:abstractNumId w:val="25"/>
  </w:num>
  <w:num w:numId="27">
    <w:abstractNumId w:val="15"/>
  </w:num>
  <w:num w:numId="28">
    <w:abstractNumId w:val="2"/>
  </w:num>
  <w:num w:numId="29">
    <w:abstractNumId w:val="24"/>
  </w:num>
  <w:num w:numId="30">
    <w:abstractNumId w:val="29"/>
  </w:num>
  <w:num w:numId="31">
    <w:abstractNumId w:val="0"/>
  </w:num>
  <w:num w:numId="32">
    <w:abstractNumId w:val="10"/>
  </w:num>
  <w:num w:numId="33">
    <w:abstractNumId w:val="19"/>
  </w:num>
  <w:num w:numId="34">
    <w:abstractNumId w:val="11"/>
  </w:num>
  <w:num w:numId="35">
    <w:abstractNumId w:val="7"/>
  </w:num>
  <w:num w:numId="3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5F"/>
    <w:rsid w:val="00002449"/>
    <w:rsid w:val="000126BE"/>
    <w:rsid w:val="00072D86"/>
    <w:rsid w:val="000C1CE2"/>
    <w:rsid w:val="00281F7D"/>
    <w:rsid w:val="00383405"/>
    <w:rsid w:val="004D3699"/>
    <w:rsid w:val="004E58A6"/>
    <w:rsid w:val="004F277A"/>
    <w:rsid w:val="00536AFD"/>
    <w:rsid w:val="005B335B"/>
    <w:rsid w:val="005D5149"/>
    <w:rsid w:val="005D7755"/>
    <w:rsid w:val="0070752F"/>
    <w:rsid w:val="00740B60"/>
    <w:rsid w:val="007C64C6"/>
    <w:rsid w:val="00851471"/>
    <w:rsid w:val="008A047B"/>
    <w:rsid w:val="00993614"/>
    <w:rsid w:val="00A00CB2"/>
    <w:rsid w:val="00A229F8"/>
    <w:rsid w:val="00AD0D5F"/>
    <w:rsid w:val="00B617F2"/>
    <w:rsid w:val="00C822D4"/>
    <w:rsid w:val="00C82A4C"/>
    <w:rsid w:val="00DB03B5"/>
    <w:rsid w:val="00E127E1"/>
    <w:rsid w:val="00E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47D84"/>
  <w15:chartTrackingRefBased/>
  <w15:docId w15:val="{240A6BAC-5AE9-43DE-B58A-D425934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B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ind w:left="567"/>
      <w:jc w:val="both"/>
      <w:outlineLvl w:val="0"/>
    </w:pPr>
    <w:rPr>
      <w:rFonts w:ascii="Bookman Old Style" w:hAnsi="Bookman Old Style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Bookman Old Style" w:hAnsi="Bookman Old Style"/>
      <w:b/>
      <w:bCs/>
      <w:sz w:val="20"/>
      <w:szCs w:val="20"/>
      <w:lang w:val="es-ES_tradnl"/>
    </w:rPr>
  </w:style>
  <w:style w:type="paragraph" w:styleId="Sangra3detindependiente">
    <w:name w:val="Body Text Indent 3"/>
    <w:basedOn w:val="Normal"/>
    <w:pPr>
      <w:spacing w:line="360" w:lineRule="auto"/>
      <w:ind w:left="567"/>
      <w:jc w:val="both"/>
    </w:pPr>
    <w:rPr>
      <w:rFonts w:ascii="Bookman Old Style" w:hAnsi="Bookman Old Style"/>
      <w:sz w:val="22"/>
      <w:szCs w:val="20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rPr>
      <w:rFonts w:ascii="Bookman Old Style" w:hAnsi="Bookman Old Style"/>
      <w:b/>
      <w:bCs/>
      <w:sz w:val="22"/>
      <w:szCs w:val="22"/>
      <w:lang w:val="es-ES" w:eastAsia="es-ES" w:bidi="ar-S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a">
    <w:basedOn w:val="Normal"/>
    <w:next w:val="Sangradetextonormal"/>
    <w:pPr>
      <w:ind w:firstLine="540"/>
      <w:jc w:val="both"/>
    </w:pPr>
    <w:rPr>
      <w:rFonts w:ascii="Bookman Old Style" w:hAnsi="Bookman Old Style" w:cs="Arial"/>
      <w:color w:val="000000"/>
      <w:sz w:val="22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26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rieto@dipg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3915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mailto:mprieto@dipgra.es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JU_PORRAS</dc:creator>
  <cp:keywords/>
  <dc:description/>
  <cp:lastModifiedBy>MERLO MOLINA, MIGUEL</cp:lastModifiedBy>
  <cp:revision>3</cp:revision>
  <cp:lastPrinted>2013-04-03T07:01:00Z</cp:lastPrinted>
  <dcterms:created xsi:type="dcterms:W3CDTF">2019-08-02T07:31:00Z</dcterms:created>
  <dcterms:modified xsi:type="dcterms:W3CDTF">2019-08-02T07:34:00Z</dcterms:modified>
</cp:coreProperties>
</file>