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PAI : ALPUJARRA REACTIVA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FB72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Pr="00FB7271">
              <w:rPr>
                <w:b/>
                <w:sz w:val="24"/>
                <w:szCs w:val="24"/>
              </w:rPr>
              <w:t>PATRIMONIO URBANO, TURISMO Y CULTURA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FB72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Pr="00FB7271">
              <w:rPr>
                <w:b/>
              </w:rPr>
              <w:t>4.1: REHABILITACIÓN Y PROTECCIÓN DEL PATRIMONIO URBANO, Y PROMOCIÓN DEL TURISMO Y LA CULTURA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FB7271" w:rsidRPr="00FB7271" w:rsidRDefault="00FB727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Pr="00FB7271">
              <w:rPr>
                <w:bCs/>
                <w:sz w:val="20"/>
                <w:szCs w:val="20"/>
              </w:rPr>
              <w:t>TI00165 - PROTECCIÓN, DESARROLLO Y PROMOCIÓN DE LOS ACTIVOS DEL TURISMO PÚBLICO Y SERVICIOS DEL TURISMO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9579E9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9579E9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0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0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  <w:bookmarkStart w:id="1" w:name="_GoBack"/>
      <w:bookmarkEnd w:id="1"/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3789AA30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523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8</cp:revision>
  <cp:lastPrinted>2018-04-04T08:24:00Z</cp:lastPrinted>
  <dcterms:created xsi:type="dcterms:W3CDTF">2026-02-25T13:11:00Z</dcterms:created>
  <dcterms:modified xsi:type="dcterms:W3CDTF">2026-03-05T08:59:00Z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