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FB7271" w:rsidRPr="00FB7271" w:rsidRDefault="00FB7271" w:rsidP="00FB7271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BD7C1E" w:rsidRPr="00BD7C1E">
              <w:rPr>
                <w:b/>
                <w:color w:val="FFFFFF"/>
                <w:sz w:val="32"/>
                <w:szCs w:val="32"/>
              </w:rPr>
              <w:t>CONSOLIDACIÓN DEL TERRITORIO COMO DESTINO TURÍSTICO SOTENIBLE, CIRCULAR E INTELIGENTE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E849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E849B5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E849B5" w:rsidRPr="00E849B5">
              <w:rPr>
                <w:b/>
                <w:sz w:val="24"/>
                <w:szCs w:val="24"/>
              </w:rPr>
              <w:t>ENERGÍA Y MEDIO AMBIENTE</w:t>
            </w:r>
            <w:r w:rsidR="00B85296">
              <w:rPr>
                <w:b/>
                <w:sz w:val="24"/>
                <w:szCs w:val="24"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E849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E849B5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E849B5">
              <w:rPr>
                <w:b/>
              </w:rPr>
              <w:t>2</w:t>
            </w:r>
            <w:r w:rsidRPr="00FB7271">
              <w:rPr>
                <w:b/>
              </w:rPr>
              <w:t xml:space="preserve">: </w:t>
            </w:r>
            <w:r w:rsidR="00E849B5">
              <w:rPr>
                <w:b/>
              </w:rPr>
              <w:t>ENERGÍA RENOVABLE</w:t>
            </w:r>
            <w:r w:rsidR="00B85296">
              <w:rPr>
                <w:b/>
              </w:rPr>
              <w:t>.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E849B5">
        <w:trPr>
          <w:trHeight w:hRule="exact" w:val="999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3529F6" w:rsidRPr="003529F6" w:rsidRDefault="00FB7271" w:rsidP="00E849B5">
            <w:pPr>
              <w:spacing w:after="0" w:line="240" w:lineRule="auto"/>
              <w:jc w:val="lef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>
              <w:t xml:space="preserve"> </w:t>
            </w:r>
            <w:r w:rsidR="00E849B5">
              <w:rPr>
                <w:bCs/>
                <w:sz w:val="20"/>
                <w:szCs w:val="20"/>
              </w:rPr>
              <w:t>TI0048 – ENERGÍA RENOVABLE: SOLAR</w:t>
            </w:r>
            <w:r w:rsidR="00B85296">
              <w:rPr>
                <w:bCs/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B8529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B85296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29F6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55D6A"/>
    <w:rsid w:val="00B67935"/>
    <w:rsid w:val="00B83F99"/>
    <w:rsid w:val="00B85296"/>
    <w:rsid w:val="00B95FE8"/>
    <w:rsid w:val="00B9779F"/>
    <w:rsid w:val="00B978FB"/>
    <w:rsid w:val="00BA5D75"/>
    <w:rsid w:val="00BD355B"/>
    <w:rsid w:val="00BD7C1E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849B5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12C1A1DC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507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3</cp:revision>
  <cp:lastPrinted>2018-04-04T08:24:00Z</cp:lastPrinted>
  <dcterms:created xsi:type="dcterms:W3CDTF">2026-03-23T08:11:00Z</dcterms:created>
  <dcterms:modified xsi:type="dcterms:W3CDTF">2026-03-23T09:31:00Z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