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D8C" w:rsidRDefault="002A6D8C" w:rsidP="000A661F">
      <w:pPr>
        <w:jc w:val="both"/>
        <w:rPr>
          <w:rFonts w:asciiTheme="minorHAnsi" w:hAnsiTheme="minorHAnsi" w:cs="Arial"/>
          <w:b/>
          <w:iCs/>
          <w:sz w:val="28"/>
          <w:szCs w:val="28"/>
        </w:rPr>
      </w:pPr>
    </w:p>
    <w:p w:rsidR="002A6D8C" w:rsidRDefault="002A6D8C" w:rsidP="000A661F">
      <w:pPr>
        <w:jc w:val="both"/>
        <w:rPr>
          <w:rFonts w:asciiTheme="minorHAnsi" w:hAnsiTheme="minorHAnsi" w:cs="Arial"/>
          <w:b/>
          <w:iCs/>
          <w:sz w:val="28"/>
          <w:szCs w:val="28"/>
        </w:rPr>
      </w:pPr>
    </w:p>
    <w:p w:rsidR="002A6D8C" w:rsidRDefault="002A6D8C" w:rsidP="000A661F">
      <w:pPr>
        <w:jc w:val="both"/>
        <w:rPr>
          <w:rFonts w:asciiTheme="minorHAnsi" w:hAnsiTheme="minorHAnsi" w:cs="Arial"/>
          <w:b/>
          <w:iCs/>
          <w:sz w:val="28"/>
          <w:szCs w:val="28"/>
        </w:rPr>
      </w:pPr>
    </w:p>
    <w:p w:rsidR="002A6D8C" w:rsidRPr="002B7BD1" w:rsidRDefault="002A6D8C" w:rsidP="002A6D8C">
      <w:pPr>
        <w:jc w:val="right"/>
        <w:rPr>
          <w:rFonts w:asciiTheme="minorHAnsi" w:hAnsiTheme="minorHAnsi" w:cs="Arial"/>
          <w:iCs/>
          <w:sz w:val="24"/>
          <w:szCs w:val="24"/>
        </w:rPr>
      </w:pPr>
      <w:r w:rsidRPr="002B7BD1">
        <w:rPr>
          <w:rFonts w:asciiTheme="minorHAnsi" w:hAnsiTheme="minorHAnsi" w:cs="Arial"/>
          <w:iCs/>
          <w:sz w:val="24"/>
          <w:szCs w:val="24"/>
        </w:rPr>
        <w:t xml:space="preserve">Granada, </w:t>
      </w:r>
      <w:r w:rsidR="000951F7">
        <w:rPr>
          <w:rFonts w:asciiTheme="minorHAnsi" w:hAnsiTheme="minorHAnsi" w:cs="Arial"/>
          <w:iCs/>
          <w:sz w:val="24"/>
          <w:szCs w:val="24"/>
        </w:rPr>
        <w:t>viernes 7 de septiembre de 2018</w:t>
      </w:r>
    </w:p>
    <w:p w:rsidR="002A6D8C" w:rsidRPr="002B7BD1" w:rsidRDefault="002A6D8C" w:rsidP="000A661F">
      <w:pPr>
        <w:jc w:val="both"/>
        <w:rPr>
          <w:rFonts w:asciiTheme="minorHAnsi" w:hAnsiTheme="minorHAnsi" w:cs="Arial"/>
          <w:b/>
          <w:iCs/>
          <w:sz w:val="24"/>
          <w:szCs w:val="24"/>
        </w:rPr>
      </w:pPr>
    </w:p>
    <w:p w:rsidR="002A6D8C" w:rsidRPr="00530D39" w:rsidRDefault="002B7BD1" w:rsidP="000A661F">
      <w:pPr>
        <w:jc w:val="both"/>
        <w:rPr>
          <w:rFonts w:asciiTheme="minorHAnsi" w:hAnsiTheme="minorHAnsi" w:cs="Arial"/>
          <w:b/>
          <w:iCs/>
          <w:sz w:val="28"/>
          <w:szCs w:val="28"/>
        </w:rPr>
      </w:pPr>
      <w:r w:rsidRPr="00530D39">
        <w:rPr>
          <w:rFonts w:asciiTheme="minorHAnsi" w:hAnsiTheme="minorHAnsi" w:cs="Arial"/>
          <w:b/>
          <w:iCs/>
          <w:sz w:val="28"/>
          <w:szCs w:val="28"/>
        </w:rPr>
        <w:t>NOTA INFORMATIVA</w:t>
      </w:r>
    </w:p>
    <w:p w:rsidR="002B7BD1" w:rsidRPr="00530D39" w:rsidRDefault="002B7BD1" w:rsidP="000A661F">
      <w:pPr>
        <w:jc w:val="both"/>
        <w:rPr>
          <w:rFonts w:asciiTheme="minorHAnsi" w:hAnsiTheme="minorHAnsi" w:cs="Arial"/>
          <w:b/>
          <w:iCs/>
          <w:sz w:val="28"/>
          <w:szCs w:val="28"/>
        </w:rPr>
      </w:pPr>
    </w:p>
    <w:p w:rsidR="002A6D8C" w:rsidRPr="00530D39" w:rsidRDefault="002A6D8C" w:rsidP="00665415">
      <w:pPr>
        <w:pBdr>
          <w:bottom w:val="single" w:sz="4" w:space="1" w:color="auto"/>
        </w:pBdr>
        <w:jc w:val="both"/>
        <w:rPr>
          <w:rFonts w:asciiTheme="minorHAnsi" w:hAnsiTheme="minorHAnsi" w:cs="Arial"/>
          <w:b/>
          <w:iCs/>
          <w:sz w:val="28"/>
          <w:szCs w:val="28"/>
        </w:rPr>
      </w:pPr>
      <w:r w:rsidRPr="00530D39">
        <w:rPr>
          <w:rFonts w:asciiTheme="minorHAnsi" w:hAnsiTheme="minorHAnsi" w:cs="Arial"/>
          <w:b/>
          <w:iCs/>
          <w:sz w:val="28"/>
          <w:szCs w:val="28"/>
        </w:rPr>
        <w:t xml:space="preserve">La Fundación Pública Andaluza El legado andalusí inaugura la exposición </w:t>
      </w:r>
      <w:r w:rsidR="000951F7" w:rsidRPr="00530D39">
        <w:rPr>
          <w:rFonts w:asciiTheme="minorHAnsi" w:hAnsiTheme="minorHAnsi" w:cs="Arial"/>
          <w:b/>
          <w:i/>
          <w:iCs/>
          <w:sz w:val="28"/>
          <w:szCs w:val="28"/>
        </w:rPr>
        <w:t>Los moriscos d</w:t>
      </w:r>
      <w:r w:rsidRPr="00530D39">
        <w:rPr>
          <w:rFonts w:asciiTheme="minorHAnsi" w:hAnsiTheme="minorHAnsi" w:cs="Arial"/>
          <w:b/>
          <w:i/>
          <w:iCs/>
          <w:sz w:val="28"/>
          <w:szCs w:val="28"/>
        </w:rPr>
        <w:t>el Reino de Granada</w:t>
      </w:r>
      <w:r w:rsidR="00665415" w:rsidRPr="00530D39">
        <w:rPr>
          <w:rFonts w:asciiTheme="minorHAnsi" w:hAnsiTheme="minorHAnsi" w:cs="Arial"/>
          <w:b/>
          <w:i/>
          <w:iCs/>
          <w:sz w:val="28"/>
          <w:szCs w:val="28"/>
        </w:rPr>
        <w:t xml:space="preserve"> </w:t>
      </w:r>
      <w:r w:rsidR="00665415" w:rsidRPr="00530D39">
        <w:rPr>
          <w:rFonts w:asciiTheme="minorHAnsi" w:hAnsiTheme="minorHAnsi" w:cs="Arial"/>
          <w:b/>
          <w:iCs/>
          <w:sz w:val="28"/>
          <w:szCs w:val="28"/>
        </w:rPr>
        <w:t xml:space="preserve">en </w:t>
      </w:r>
      <w:r w:rsidR="000951F7" w:rsidRPr="00530D39">
        <w:rPr>
          <w:rFonts w:asciiTheme="minorHAnsi" w:hAnsiTheme="minorHAnsi" w:cs="Arial"/>
          <w:b/>
          <w:iCs/>
          <w:sz w:val="28"/>
          <w:szCs w:val="28"/>
        </w:rPr>
        <w:t>Ronda (Málaga)</w:t>
      </w:r>
      <w:r w:rsidR="00665415" w:rsidRPr="00530D39">
        <w:rPr>
          <w:rFonts w:asciiTheme="minorHAnsi" w:hAnsiTheme="minorHAnsi" w:cs="Arial"/>
          <w:b/>
          <w:iCs/>
          <w:sz w:val="28"/>
          <w:szCs w:val="28"/>
        </w:rPr>
        <w:t>.</w:t>
      </w:r>
    </w:p>
    <w:p w:rsidR="00665415" w:rsidRPr="002B7BD1" w:rsidRDefault="00665415" w:rsidP="00665415">
      <w:pPr>
        <w:pBdr>
          <w:bottom w:val="single" w:sz="4" w:space="1" w:color="auto"/>
        </w:pBdr>
        <w:jc w:val="both"/>
        <w:rPr>
          <w:rFonts w:asciiTheme="minorHAnsi" w:hAnsiTheme="minorHAnsi" w:cs="Arial"/>
          <w:b/>
          <w:iCs/>
          <w:sz w:val="24"/>
          <w:szCs w:val="24"/>
        </w:rPr>
      </w:pPr>
    </w:p>
    <w:p w:rsidR="00665415" w:rsidRPr="002B7BD1" w:rsidRDefault="002B7BD1" w:rsidP="00665415">
      <w:pPr>
        <w:pBdr>
          <w:bottom w:val="single" w:sz="4" w:space="1" w:color="auto"/>
        </w:pBdr>
        <w:jc w:val="both"/>
        <w:rPr>
          <w:rFonts w:asciiTheme="minorHAnsi" w:hAnsiTheme="minorHAnsi" w:cs="Arial"/>
          <w:iCs/>
          <w:sz w:val="24"/>
          <w:szCs w:val="24"/>
        </w:rPr>
      </w:pPr>
      <w:r>
        <w:rPr>
          <w:rFonts w:ascii="Arial" w:hAnsi="Arial" w:cs="Arial"/>
          <w:iCs/>
          <w:sz w:val="24"/>
          <w:szCs w:val="24"/>
        </w:rPr>
        <w:t>►</w:t>
      </w:r>
      <w:r w:rsidR="00C36B38">
        <w:rPr>
          <w:rFonts w:ascii="Arial" w:hAnsi="Arial" w:cs="Arial"/>
          <w:iCs/>
          <w:sz w:val="24"/>
          <w:szCs w:val="24"/>
        </w:rPr>
        <w:t xml:space="preserve"> </w:t>
      </w:r>
      <w:r w:rsidR="003E6100">
        <w:rPr>
          <w:rFonts w:asciiTheme="minorHAnsi" w:hAnsiTheme="minorHAnsi" w:cs="Arial"/>
          <w:iCs/>
          <w:sz w:val="24"/>
          <w:szCs w:val="24"/>
        </w:rPr>
        <w:t>Permanecerá</w:t>
      </w:r>
      <w:r w:rsidR="00665415" w:rsidRPr="002B7BD1">
        <w:rPr>
          <w:rFonts w:asciiTheme="minorHAnsi" w:hAnsiTheme="minorHAnsi" w:cs="Arial"/>
          <w:iCs/>
          <w:sz w:val="24"/>
          <w:szCs w:val="24"/>
        </w:rPr>
        <w:t xml:space="preserve"> hasta el </w:t>
      </w:r>
      <w:r w:rsidR="000951F7">
        <w:rPr>
          <w:rFonts w:asciiTheme="minorHAnsi" w:hAnsiTheme="minorHAnsi" w:cs="Arial"/>
          <w:iCs/>
          <w:sz w:val="24"/>
          <w:szCs w:val="24"/>
        </w:rPr>
        <w:t xml:space="preserve">3 de octubre en el Palacio de Exposiciones y Congresos de Ronda </w:t>
      </w:r>
      <w:r w:rsidR="003E6100">
        <w:rPr>
          <w:rFonts w:asciiTheme="minorHAnsi" w:hAnsiTheme="minorHAnsi" w:cs="Arial"/>
          <w:iCs/>
          <w:sz w:val="24"/>
          <w:szCs w:val="24"/>
        </w:rPr>
        <w:t>y se enmarca en los actos del 450 Aniversario de la Rebelión de las Alpujarras</w:t>
      </w:r>
    </w:p>
    <w:p w:rsidR="002A6D8C" w:rsidRPr="002B7BD1" w:rsidRDefault="002A6D8C" w:rsidP="00665415">
      <w:pPr>
        <w:pBdr>
          <w:bottom w:val="single" w:sz="4" w:space="1" w:color="auto"/>
        </w:pBdr>
        <w:jc w:val="both"/>
        <w:rPr>
          <w:rFonts w:asciiTheme="minorHAnsi" w:hAnsiTheme="minorHAnsi" w:cs="Arial"/>
          <w:iCs/>
          <w:sz w:val="24"/>
          <w:szCs w:val="24"/>
        </w:rPr>
      </w:pPr>
    </w:p>
    <w:p w:rsidR="002B7BD1" w:rsidRPr="002B7BD1" w:rsidRDefault="002B7BD1" w:rsidP="00665415">
      <w:pPr>
        <w:pBdr>
          <w:bottom w:val="single" w:sz="4" w:space="1" w:color="auto"/>
        </w:pBdr>
        <w:jc w:val="both"/>
        <w:rPr>
          <w:rFonts w:asciiTheme="minorHAnsi" w:hAnsiTheme="minorHAnsi" w:cs="Arial"/>
          <w:b/>
          <w:iCs/>
          <w:sz w:val="24"/>
          <w:szCs w:val="24"/>
        </w:rPr>
      </w:pPr>
      <w:r>
        <w:rPr>
          <w:rFonts w:ascii="Arial" w:hAnsi="Arial" w:cs="Arial"/>
          <w:sz w:val="24"/>
          <w:szCs w:val="24"/>
        </w:rPr>
        <w:t>►</w:t>
      </w:r>
      <w:r w:rsidR="00C36B38">
        <w:rPr>
          <w:rFonts w:ascii="Arial" w:hAnsi="Arial" w:cs="Arial"/>
          <w:sz w:val="24"/>
          <w:szCs w:val="24"/>
        </w:rPr>
        <w:t xml:space="preserve"> </w:t>
      </w:r>
      <w:r w:rsidRPr="002B7BD1">
        <w:rPr>
          <w:rFonts w:asciiTheme="minorHAnsi" w:hAnsiTheme="minorHAnsi"/>
          <w:sz w:val="24"/>
          <w:szCs w:val="24"/>
        </w:rPr>
        <w:t xml:space="preserve">Se trata de una parte de nuestro pasado poco estudiada y divulgada de la que esta </w:t>
      </w:r>
      <w:r w:rsidR="003E6100">
        <w:rPr>
          <w:rFonts w:asciiTheme="minorHAnsi" w:hAnsiTheme="minorHAnsi"/>
          <w:sz w:val="24"/>
          <w:szCs w:val="24"/>
        </w:rPr>
        <w:t>muestra</w:t>
      </w:r>
      <w:r w:rsidRPr="002B7BD1">
        <w:rPr>
          <w:rFonts w:asciiTheme="minorHAnsi" w:hAnsiTheme="minorHAnsi"/>
          <w:sz w:val="24"/>
          <w:szCs w:val="24"/>
        </w:rPr>
        <w:t xml:space="preserve"> recupera su memoria</w:t>
      </w:r>
    </w:p>
    <w:p w:rsidR="002A6D8C" w:rsidRPr="002B7BD1" w:rsidRDefault="002A6D8C" w:rsidP="000A661F">
      <w:pPr>
        <w:jc w:val="both"/>
        <w:rPr>
          <w:rFonts w:asciiTheme="minorHAnsi" w:hAnsiTheme="minorHAnsi" w:cs="Arial"/>
          <w:b/>
          <w:iCs/>
          <w:sz w:val="24"/>
          <w:szCs w:val="24"/>
        </w:rPr>
      </w:pPr>
    </w:p>
    <w:p w:rsidR="002A6D8C" w:rsidRPr="002B7BD1" w:rsidRDefault="002A6D8C" w:rsidP="000A661F">
      <w:pPr>
        <w:jc w:val="both"/>
        <w:rPr>
          <w:rFonts w:asciiTheme="minorHAnsi" w:hAnsiTheme="minorHAnsi" w:cs="Arial"/>
          <w:b/>
          <w:iCs/>
          <w:sz w:val="24"/>
          <w:szCs w:val="24"/>
        </w:rPr>
      </w:pPr>
    </w:p>
    <w:p w:rsidR="00C36B38" w:rsidRDefault="003E6100" w:rsidP="00665415">
      <w:pPr>
        <w:spacing w:line="360" w:lineRule="auto"/>
        <w:jc w:val="both"/>
        <w:rPr>
          <w:rFonts w:asciiTheme="minorHAnsi" w:hAnsiTheme="minorHAnsi" w:cs="Arial"/>
          <w:iCs/>
          <w:sz w:val="24"/>
          <w:szCs w:val="24"/>
        </w:rPr>
      </w:pPr>
      <w:r>
        <w:rPr>
          <w:rFonts w:asciiTheme="minorHAnsi" w:hAnsiTheme="minorHAnsi" w:cs="Arial"/>
          <w:iCs/>
          <w:sz w:val="24"/>
          <w:szCs w:val="24"/>
        </w:rPr>
        <w:t xml:space="preserve">La directora de la Fundación Pública Andaluza El legado andalusí, Marina Martín; la </w:t>
      </w:r>
      <w:r w:rsidR="00AC1F47">
        <w:rPr>
          <w:rFonts w:asciiTheme="minorHAnsi" w:hAnsiTheme="minorHAnsi" w:cs="Arial"/>
          <w:iCs/>
          <w:sz w:val="24"/>
          <w:szCs w:val="24"/>
        </w:rPr>
        <w:t>primera teniente de Alcalde del Ayuntamiento de</w:t>
      </w:r>
      <w:r>
        <w:rPr>
          <w:rFonts w:asciiTheme="minorHAnsi" w:hAnsiTheme="minorHAnsi" w:cs="Arial"/>
          <w:iCs/>
          <w:sz w:val="24"/>
          <w:szCs w:val="24"/>
        </w:rPr>
        <w:t xml:space="preserve"> Ronda, </w:t>
      </w:r>
      <w:r w:rsidR="00986DAE">
        <w:rPr>
          <w:rFonts w:asciiTheme="minorHAnsi" w:hAnsiTheme="minorHAnsi" w:cs="Arial"/>
          <w:iCs/>
          <w:sz w:val="24"/>
          <w:szCs w:val="24"/>
        </w:rPr>
        <w:t>Isabel Barriga,</w:t>
      </w:r>
      <w:bookmarkStart w:id="0" w:name="_GoBack"/>
      <w:bookmarkEnd w:id="0"/>
      <w:r>
        <w:rPr>
          <w:rFonts w:asciiTheme="minorHAnsi" w:hAnsiTheme="minorHAnsi" w:cs="Arial"/>
          <w:iCs/>
          <w:sz w:val="24"/>
          <w:szCs w:val="24"/>
        </w:rPr>
        <w:t xml:space="preserve"> y el vicepresidente primero de la Mancomunidad de Municipios de la Alpujarra, Raúl Ruiz</w:t>
      </w:r>
      <w:r w:rsidR="006220BB">
        <w:rPr>
          <w:rFonts w:asciiTheme="minorHAnsi" w:hAnsiTheme="minorHAnsi" w:cs="Arial"/>
          <w:iCs/>
          <w:sz w:val="24"/>
          <w:szCs w:val="24"/>
        </w:rPr>
        <w:t>,</w:t>
      </w:r>
      <w:r>
        <w:rPr>
          <w:rFonts w:asciiTheme="minorHAnsi" w:hAnsiTheme="minorHAnsi" w:cs="Arial"/>
          <w:iCs/>
          <w:sz w:val="24"/>
          <w:szCs w:val="24"/>
        </w:rPr>
        <w:t xml:space="preserve"> han inaugurado hoy en Ronda la exposición </w:t>
      </w:r>
      <w:r w:rsidRPr="003E6100">
        <w:rPr>
          <w:rFonts w:asciiTheme="minorHAnsi" w:hAnsiTheme="minorHAnsi" w:cs="Arial"/>
          <w:i/>
          <w:iCs/>
          <w:sz w:val="24"/>
          <w:szCs w:val="24"/>
        </w:rPr>
        <w:t>Los moriscos del Reino de Granada</w:t>
      </w:r>
      <w:r w:rsidR="00530D39">
        <w:rPr>
          <w:rFonts w:asciiTheme="minorHAnsi" w:hAnsiTheme="minorHAnsi" w:cs="Arial"/>
          <w:iCs/>
          <w:sz w:val="24"/>
          <w:szCs w:val="24"/>
        </w:rPr>
        <w:t>, que se adentra en l</w:t>
      </w:r>
      <w:r w:rsidR="00665415" w:rsidRPr="002B7BD1">
        <w:rPr>
          <w:rFonts w:asciiTheme="minorHAnsi" w:hAnsiTheme="minorHAnsi" w:cs="Arial"/>
          <w:iCs/>
          <w:sz w:val="24"/>
          <w:szCs w:val="24"/>
        </w:rPr>
        <w:t xml:space="preserve">as huellas </w:t>
      </w:r>
      <w:r>
        <w:rPr>
          <w:rFonts w:asciiTheme="minorHAnsi" w:hAnsiTheme="minorHAnsi" w:cs="Arial"/>
          <w:iCs/>
          <w:sz w:val="24"/>
          <w:szCs w:val="24"/>
        </w:rPr>
        <w:t xml:space="preserve">y la historia </w:t>
      </w:r>
      <w:r w:rsidR="00665415" w:rsidRPr="002B7BD1">
        <w:rPr>
          <w:rFonts w:asciiTheme="minorHAnsi" w:hAnsiTheme="minorHAnsi" w:cs="Arial"/>
          <w:iCs/>
          <w:sz w:val="24"/>
          <w:szCs w:val="24"/>
        </w:rPr>
        <w:t xml:space="preserve">de la cultura </w:t>
      </w:r>
      <w:r w:rsidR="009438A3">
        <w:rPr>
          <w:rFonts w:asciiTheme="minorHAnsi" w:hAnsiTheme="minorHAnsi" w:cs="Arial"/>
          <w:iCs/>
          <w:sz w:val="24"/>
          <w:szCs w:val="24"/>
        </w:rPr>
        <w:t>morisca en el Reino de Granada</w:t>
      </w:r>
      <w:r w:rsidR="00665415" w:rsidRPr="002B7BD1">
        <w:rPr>
          <w:rFonts w:asciiTheme="minorHAnsi" w:hAnsiTheme="minorHAnsi" w:cs="Arial"/>
          <w:iCs/>
          <w:sz w:val="24"/>
          <w:szCs w:val="24"/>
        </w:rPr>
        <w:t xml:space="preserve">. </w:t>
      </w:r>
    </w:p>
    <w:p w:rsidR="003E6100" w:rsidRDefault="003E6100" w:rsidP="00665415">
      <w:pPr>
        <w:spacing w:line="360" w:lineRule="auto"/>
        <w:jc w:val="both"/>
        <w:rPr>
          <w:rFonts w:asciiTheme="minorHAnsi" w:hAnsiTheme="minorHAnsi" w:cs="Arial"/>
          <w:color w:val="000000"/>
          <w:sz w:val="24"/>
          <w:szCs w:val="24"/>
        </w:rPr>
      </w:pPr>
    </w:p>
    <w:p w:rsidR="00530D39" w:rsidRDefault="00C36B38" w:rsidP="00665415">
      <w:pPr>
        <w:spacing w:line="360" w:lineRule="auto"/>
        <w:jc w:val="both"/>
        <w:rPr>
          <w:rFonts w:asciiTheme="minorHAnsi" w:hAnsiTheme="minorHAnsi" w:cs="Arial"/>
          <w:color w:val="000000"/>
          <w:sz w:val="24"/>
          <w:szCs w:val="24"/>
        </w:rPr>
      </w:pPr>
      <w:r>
        <w:rPr>
          <w:rFonts w:asciiTheme="minorHAnsi" w:hAnsiTheme="minorHAnsi" w:cs="Arial"/>
          <w:color w:val="000000"/>
          <w:sz w:val="24"/>
          <w:szCs w:val="24"/>
        </w:rPr>
        <w:t xml:space="preserve">La muestra está </w:t>
      </w:r>
      <w:r w:rsidR="00F42387">
        <w:rPr>
          <w:rFonts w:asciiTheme="minorHAnsi" w:hAnsiTheme="minorHAnsi" w:cs="Arial"/>
          <w:color w:val="000000"/>
          <w:sz w:val="24"/>
          <w:szCs w:val="24"/>
        </w:rPr>
        <w:t xml:space="preserve">organizada y </w:t>
      </w:r>
      <w:r>
        <w:rPr>
          <w:rFonts w:asciiTheme="minorHAnsi" w:hAnsiTheme="minorHAnsi" w:cs="Arial"/>
          <w:color w:val="000000"/>
          <w:sz w:val="24"/>
          <w:szCs w:val="24"/>
        </w:rPr>
        <w:t xml:space="preserve">comisariada por la Fundación Pública Andaluza El legado andalusí, cuenta con la colaboración del Ayuntamiento de Ronda, y </w:t>
      </w:r>
      <w:r w:rsidR="00640EA2">
        <w:rPr>
          <w:rFonts w:asciiTheme="minorHAnsi" w:hAnsiTheme="minorHAnsi" w:cs="Arial"/>
          <w:color w:val="000000"/>
          <w:sz w:val="24"/>
          <w:szCs w:val="24"/>
        </w:rPr>
        <w:t xml:space="preserve">se enmarca en </w:t>
      </w:r>
      <w:r w:rsidR="003E6100">
        <w:rPr>
          <w:rFonts w:asciiTheme="minorHAnsi" w:hAnsiTheme="minorHAnsi" w:cs="Arial"/>
          <w:color w:val="000000"/>
          <w:sz w:val="24"/>
          <w:szCs w:val="24"/>
        </w:rPr>
        <w:t>los Actos del 450 Aniversario de</w:t>
      </w:r>
      <w:r>
        <w:rPr>
          <w:rFonts w:asciiTheme="minorHAnsi" w:hAnsiTheme="minorHAnsi" w:cs="Arial"/>
          <w:color w:val="000000"/>
          <w:sz w:val="24"/>
          <w:szCs w:val="24"/>
        </w:rPr>
        <w:t xml:space="preserve"> la Rebelión de las Alpujarras</w:t>
      </w:r>
      <w:r w:rsidR="00640EA2">
        <w:rPr>
          <w:rFonts w:asciiTheme="minorHAnsi" w:hAnsiTheme="minorHAnsi" w:cs="Arial"/>
          <w:color w:val="000000"/>
          <w:sz w:val="24"/>
          <w:szCs w:val="24"/>
        </w:rPr>
        <w:t>.</w:t>
      </w:r>
      <w:r w:rsidR="009438A3">
        <w:rPr>
          <w:rFonts w:asciiTheme="minorHAnsi" w:hAnsiTheme="minorHAnsi" w:cs="Arial"/>
          <w:color w:val="000000"/>
          <w:sz w:val="24"/>
          <w:szCs w:val="24"/>
        </w:rPr>
        <w:t xml:space="preserve"> </w:t>
      </w:r>
      <w:r w:rsidR="00530D39">
        <w:rPr>
          <w:rFonts w:asciiTheme="minorHAnsi" w:hAnsiTheme="minorHAnsi" w:cs="Arial"/>
          <w:color w:val="000000"/>
          <w:sz w:val="24"/>
          <w:szCs w:val="24"/>
        </w:rPr>
        <w:t>Está compuesta por más de 60 piezas (grabados, manuscritos, libros, etc.) que forman parte de la colección de la propia Fundación, además de préstamos temporales.</w:t>
      </w:r>
    </w:p>
    <w:p w:rsidR="00804641" w:rsidRDefault="00804641" w:rsidP="00665415">
      <w:pPr>
        <w:spacing w:line="360" w:lineRule="auto"/>
        <w:jc w:val="both"/>
        <w:rPr>
          <w:rFonts w:asciiTheme="minorHAnsi" w:hAnsiTheme="minorHAnsi" w:cs="Arial"/>
          <w:color w:val="000000"/>
          <w:sz w:val="24"/>
          <w:szCs w:val="24"/>
        </w:rPr>
      </w:pPr>
    </w:p>
    <w:p w:rsidR="00804641" w:rsidRDefault="003E6100" w:rsidP="00665415">
      <w:pPr>
        <w:spacing w:line="360" w:lineRule="auto"/>
        <w:jc w:val="both"/>
        <w:rPr>
          <w:rFonts w:asciiTheme="minorHAnsi" w:hAnsiTheme="minorHAnsi" w:cs="Arial"/>
          <w:color w:val="000000"/>
          <w:sz w:val="24"/>
          <w:szCs w:val="24"/>
        </w:rPr>
      </w:pPr>
      <w:r>
        <w:rPr>
          <w:rFonts w:asciiTheme="minorHAnsi" w:hAnsiTheme="minorHAnsi" w:cs="Arial"/>
          <w:color w:val="000000"/>
          <w:sz w:val="24"/>
          <w:szCs w:val="24"/>
        </w:rPr>
        <w:t xml:space="preserve">Ronda formó parte de los territorios del </w:t>
      </w:r>
      <w:r w:rsidR="00804641">
        <w:rPr>
          <w:rFonts w:asciiTheme="minorHAnsi" w:hAnsiTheme="minorHAnsi" w:cs="Arial"/>
          <w:color w:val="000000"/>
          <w:sz w:val="24"/>
          <w:szCs w:val="24"/>
        </w:rPr>
        <w:t>Reino de Granada</w:t>
      </w:r>
      <w:r>
        <w:rPr>
          <w:rFonts w:asciiTheme="minorHAnsi" w:hAnsiTheme="minorHAnsi" w:cs="Arial"/>
          <w:color w:val="000000"/>
          <w:sz w:val="24"/>
          <w:szCs w:val="24"/>
        </w:rPr>
        <w:t>. Tras la conquista del Reino de Granada por parte de los Reyes Católicos se fomentaron las conversiones religiosas al cristianismo de los mudéjares. Estas conversiones desembocaron en la revuelta del Albaicín que se extendió hacia las Alpujarras,  Sierra Bermeja y la Serranía de Ronda.</w:t>
      </w:r>
      <w:r w:rsidR="00804641">
        <w:rPr>
          <w:rFonts w:asciiTheme="minorHAnsi" w:hAnsiTheme="minorHAnsi" w:cs="Arial"/>
          <w:color w:val="000000"/>
          <w:sz w:val="24"/>
          <w:szCs w:val="24"/>
        </w:rPr>
        <w:t xml:space="preserve"> </w:t>
      </w:r>
    </w:p>
    <w:p w:rsidR="003E6100" w:rsidRPr="002B7BD1" w:rsidRDefault="003E6100" w:rsidP="00665415">
      <w:pPr>
        <w:spacing w:line="360" w:lineRule="auto"/>
        <w:jc w:val="both"/>
        <w:rPr>
          <w:rFonts w:asciiTheme="minorHAnsi" w:hAnsiTheme="minorHAnsi" w:cs="Arial"/>
          <w:iCs/>
          <w:sz w:val="24"/>
          <w:szCs w:val="24"/>
        </w:rPr>
      </w:pPr>
    </w:p>
    <w:p w:rsidR="00F92BCF" w:rsidRDefault="00F92BCF" w:rsidP="00F92BCF">
      <w:pPr>
        <w:spacing w:line="360" w:lineRule="auto"/>
        <w:jc w:val="both"/>
        <w:rPr>
          <w:rFonts w:asciiTheme="minorHAnsi" w:hAnsiTheme="minorHAnsi"/>
          <w:bCs/>
          <w:sz w:val="24"/>
          <w:szCs w:val="24"/>
        </w:rPr>
      </w:pPr>
      <w:r w:rsidRPr="002B7BD1">
        <w:rPr>
          <w:rFonts w:asciiTheme="minorHAnsi" w:hAnsiTheme="minorHAnsi"/>
          <w:bCs/>
          <w:sz w:val="24"/>
          <w:szCs w:val="24"/>
        </w:rPr>
        <w:lastRenderedPageBreak/>
        <w:t>La exposición</w:t>
      </w:r>
      <w:r w:rsidR="003E6100">
        <w:rPr>
          <w:rFonts w:asciiTheme="minorHAnsi" w:hAnsiTheme="minorHAnsi"/>
          <w:bCs/>
          <w:sz w:val="24"/>
          <w:szCs w:val="24"/>
        </w:rPr>
        <w:t xml:space="preserve"> también</w:t>
      </w:r>
      <w:r w:rsidRPr="002B7BD1">
        <w:rPr>
          <w:rFonts w:asciiTheme="minorHAnsi" w:hAnsiTheme="minorHAnsi"/>
          <w:bCs/>
          <w:sz w:val="24"/>
          <w:szCs w:val="24"/>
        </w:rPr>
        <w:t xml:space="preserve"> nos</w:t>
      </w:r>
      <w:r w:rsidR="0065638A">
        <w:rPr>
          <w:rFonts w:asciiTheme="minorHAnsi" w:hAnsiTheme="minorHAnsi"/>
          <w:bCs/>
          <w:sz w:val="24"/>
          <w:szCs w:val="24"/>
        </w:rPr>
        <w:t xml:space="preserve"> acerca a 1609 cuando</w:t>
      </w:r>
      <w:r w:rsidRPr="002B7BD1">
        <w:rPr>
          <w:rFonts w:asciiTheme="minorHAnsi" w:hAnsiTheme="minorHAnsi"/>
          <w:bCs/>
          <w:sz w:val="24"/>
          <w:szCs w:val="24"/>
        </w:rPr>
        <w:t xml:space="preserve"> estos moriscos fueron expulsados de la Península a raíz del decreto firmado por Felipe III que imponía la expuls</w:t>
      </w:r>
      <w:r w:rsidR="0065638A">
        <w:rPr>
          <w:rFonts w:asciiTheme="minorHAnsi" w:hAnsiTheme="minorHAnsi"/>
          <w:bCs/>
          <w:sz w:val="24"/>
          <w:szCs w:val="24"/>
        </w:rPr>
        <w:t>ión de cerca de 300.000</w:t>
      </w:r>
      <w:r w:rsidRPr="002B7BD1">
        <w:rPr>
          <w:rFonts w:asciiTheme="minorHAnsi" w:hAnsiTheme="minorHAnsi"/>
          <w:bCs/>
          <w:sz w:val="24"/>
          <w:szCs w:val="24"/>
        </w:rPr>
        <w:t>, buena parte de ellos radic</w:t>
      </w:r>
      <w:r w:rsidR="0065638A">
        <w:rPr>
          <w:rFonts w:asciiTheme="minorHAnsi" w:hAnsiTheme="minorHAnsi"/>
          <w:bCs/>
          <w:sz w:val="24"/>
          <w:szCs w:val="24"/>
        </w:rPr>
        <w:t>ados en Granada. U</w:t>
      </w:r>
      <w:r w:rsidRPr="002B7BD1">
        <w:rPr>
          <w:rFonts w:asciiTheme="minorHAnsi" w:hAnsiTheme="minorHAnsi"/>
          <w:bCs/>
          <w:sz w:val="24"/>
          <w:szCs w:val="24"/>
        </w:rPr>
        <w:t xml:space="preserve">n drama humano que también conllevó un </w:t>
      </w:r>
      <w:r w:rsidR="003E6100">
        <w:rPr>
          <w:rFonts w:asciiTheme="minorHAnsi" w:hAnsiTheme="minorHAnsi"/>
          <w:bCs/>
          <w:sz w:val="24"/>
          <w:szCs w:val="24"/>
        </w:rPr>
        <w:t xml:space="preserve">amplio </w:t>
      </w:r>
      <w:r w:rsidRPr="002B7BD1">
        <w:rPr>
          <w:rFonts w:asciiTheme="minorHAnsi" w:hAnsiTheme="minorHAnsi"/>
          <w:bCs/>
          <w:sz w:val="24"/>
          <w:szCs w:val="24"/>
        </w:rPr>
        <w:t>retroceso económico, ya que buena parte de la agricultura y el comercio estaban en manos de moriscos.</w:t>
      </w:r>
    </w:p>
    <w:p w:rsidR="009438A3" w:rsidRDefault="009438A3" w:rsidP="00F92BCF">
      <w:pPr>
        <w:spacing w:line="360" w:lineRule="auto"/>
        <w:jc w:val="both"/>
        <w:rPr>
          <w:rFonts w:asciiTheme="minorHAnsi" w:hAnsiTheme="minorHAnsi"/>
          <w:bCs/>
          <w:sz w:val="24"/>
          <w:szCs w:val="24"/>
        </w:rPr>
      </w:pPr>
    </w:p>
    <w:p w:rsidR="009438A3" w:rsidRPr="002B7BD1" w:rsidRDefault="009438A3" w:rsidP="00F92BCF">
      <w:pPr>
        <w:spacing w:line="360" w:lineRule="auto"/>
        <w:jc w:val="both"/>
        <w:rPr>
          <w:rFonts w:asciiTheme="minorHAnsi" w:hAnsiTheme="minorHAnsi"/>
          <w:bCs/>
          <w:sz w:val="24"/>
          <w:szCs w:val="24"/>
        </w:rPr>
      </w:pPr>
      <w:r>
        <w:rPr>
          <w:rFonts w:asciiTheme="minorHAnsi" w:hAnsiTheme="minorHAnsi"/>
          <w:bCs/>
          <w:sz w:val="24"/>
          <w:szCs w:val="24"/>
        </w:rPr>
        <w:t>Entre otras obras, en la muestra el visitante puede contemplar diferentes imágenes originales con personajes moriscos editad</w:t>
      </w:r>
      <w:r w:rsidR="003E6100">
        <w:rPr>
          <w:rFonts w:asciiTheme="minorHAnsi" w:hAnsiTheme="minorHAnsi"/>
          <w:bCs/>
          <w:sz w:val="24"/>
          <w:szCs w:val="24"/>
        </w:rPr>
        <w:t>a</w:t>
      </w:r>
      <w:r>
        <w:rPr>
          <w:rFonts w:asciiTheme="minorHAnsi" w:hAnsiTheme="minorHAnsi"/>
          <w:bCs/>
          <w:sz w:val="24"/>
          <w:szCs w:val="24"/>
        </w:rPr>
        <w:t xml:space="preserve">s durante la segunda mitad del siglo XVI-XVII por primera vez en el </w:t>
      </w:r>
      <w:r w:rsidRPr="009438A3">
        <w:rPr>
          <w:rFonts w:asciiTheme="minorHAnsi" w:hAnsiTheme="minorHAnsi"/>
          <w:bCs/>
          <w:i/>
          <w:sz w:val="24"/>
          <w:szCs w:val="24"/>
        </w:rPr>
        <w:t>Civitates Orbis Terrarum</w:t>
      </w:r>
      <w:r>
        <w:rPr>
          <w:rFonts w:asciiTheme="minorHAnsi" w:hAnsiTheme="minorHAnsi"/>
          <w:bCs/>
          <w:sz w:val="24"/>
          <w:szCs w:val="24"/>
        </w:rPr>
        <w:t xml:space="preserve"> o </w:t>
      </w:r>
      <w:r w:rsidRPr="009438A3">
        <w:rPr>
          <w:rFonts w:asciiTheme="minorHAnsi" w:hAnsiTheme="minorHAnsi"/>
          <w:bCs/>
          <w:i/>
          <w:sz w:val="24"/>
          <w:szCs w:val="24"/>
        </w:rPr>
        <w:t>La historia eclesiástica de Granada</w:t>
      </w:r>
      <w:r>
        <w:rPr>
          <w:rFonts w:asciiTheme="minorHAnsi" w:hAnsiTheme="minorHAnsi"/>
          <w:bCs/>
          <w:sz w:val="24"/>
          <w:szCs w:val="24"/>
        </w:rPr>
        <w:t>, además de manuscritos con escrituras de venta de tierras entre moriscos y cristianos, y otros documentos relativos a la confiscación de los bienes de los moriscos rebelados.</w:t>
      </w:r>
    </w:p>
    <w:p w:rsidR="00F92BCF" w:rsidRPr="002B7BD1" w:rsidRDefault="00F92BCF" w:rsidP="00665415">
      <w:pPr>
        <w:spacing w:line="360" w:lineRule="auto"/>
        <w:jc w:val="both"/>
        <w:rPr>
          <w:rFonts w:asciiTheme="minorHAnsi" w:hAnsiTheme="minorHAnsi"/>
          <w:bCs/>
          <w:sz w:val="24"/>
          <w:szCs w:val="24"/>
        </w:rPr>
      </w:pPr>
    </w:p>
    <w:p w:rsidR="00665415" w:rsidRPr="002B7BD1" w:rsidRDefault="0065638A" w:rsidP="00665415">
      <w:pPr>
        <w:spacing w:line="360" w:lineRule="auto"/>
        <w:jc w:val="both"/>
        <w:rPr>
          <w:rFonts w:asciiTheme="minorHAnsi" w:hAnsiTheme="minorHAnsi" w:cs="Arial"/>
          <w:iCs/>
          <w:sz w:val="24"/>
          <w:szCs w:val="24"/>
        </w:rPr>
      </w:pPr>
      <w:r>
        <w:rPr>
          <w:rFonts w:asciiTheme="minorHAnsi" w:hAnsiTheme="minorHAnsi"/>
          <w:sz w:val="24"/>
          <w:szCs w:val="24"/>
        </w:rPr>
        <w:t>En definitiva, s</w:t>
      </w:r>
      <w:r w:rsidR="00665415" w:rsidRPr="002B7BD1">
        <w:rPr>
          <w:rFonts w:asciiTheme="minorHAnsi" w:hAnsiTheme="minorHAnsi"/>
          <w:sz w:val="24"/>
          <w:szCs w:val="24"/>
        </w:rPr>
        <w:t>e trata</w:t>
      </w:r>
      <w:r>
        <w:rPr>
          <w:rFonts w:asciiTheme="minorHAnsi" w:hAnsiTheme="minorHAnsi"/>
          <w:sz w:val="24"/>
          <w:szCs w:val="24"/>
        </w:rPr>
        <w:t xml:space="preserve"> de una parte de la historia </w:t>
      </w:r>
      <w:r w:rsidR="00665415" w:rsidRPr="002B7BD1">
        <w:rPr>
          <w:rFonts w:asciiTheme="minorHAnsi" w:hAnsiTheme="minorHAnsi"/>
          <w:sz w:val="24"/>
          <w:szCs w:val="24"/>
        </w:rPr>
        <w:t>poco estudiada y divulgada de</w:t>
      </w:r>
      <w:r w:rsidR="00F92BCF" w:rsidRPr="002B7BD1">
        <w:rPr>
          <w:rFonts w:asciiTheme="minorHAnsi" w:hAnsiTheme="minorHAnsi"/>
          <w:sz w:val="24"/>
          <w:szCs w:val="24"/>
        </w:rPr>
        <w:t xml:space="preserve"> la que </w:t>
      </w:r>
      <w:r w:rsidR="003E6100">
        <w:rPr>
          <w:rFonts w:asciiTheme="minorHAnsi" w:hAnsiTheme="minorHAnsi"/>
          <w:sz w:val="24"/>
          <w:szCs w:val="24"/>
        </w:rPr>
        <w:t>la Fundación Pública Andaluza El legado andalusí quiere</w:t>
      </w:r>
      <w:r w:rsidR="00F92BCF" w:rsidRPr="002B7BD1">
        <w:rPr>
          <w:rFonts w:asciiTheme="minorHAnsi" w:hAnsiTheme="minorHAnsi"/>
          <w:sz w:val="24"/>
          <w:szCs w:val="24"/>
        </w:rPr>
        <w:t xml:space="preserve"> recupera</w:t>
      </w:r>
      <w:r w:rsidR="003E6100">
        <w:rPr>
          <w:rFonts w:asciiTheme="minorHAnsi" w:hAnsiTheme="minorHAnsi"/>
          <w:sz w:val="24"/>
          <w:szCs w:val="24"/>
        </w:rPr>
        <w:t>r</w:t>
      </w:r>
      <w:r w:rsidR="00665415" w:rsidRPr="002B7BD1">
        <w:rPr>
          <w:rFonts w:asciiTheme="minorHAnsi" w:hAnsiTheme="minorHAnsi"/>
          <w:sz w:val="24"/>
          <w:szCs w:val="24"/>
        </w:rPr>
        <w:t xml:space="preserve"> su memoria</w:t>
      </w:r>
      <w:r w:rsidR="00F92BCF" w:rsidRPr="002B7BD1">
        <w:rPr>
          <w:rFonts w:asciiTheme="minorHAnsi" w:hAnsiTheme="minorHAnsi"/>
          <w:sz w:val="24"/>
          <w:szCs w:val="24"/>
        </w:rPr>
        <w:t xml:space="preserve">. </w:t>
      </w:r>
      <w:r w:rsidR="003E6100">
        <w:rPr>
          <w:rFonts w:asciiTheme="minorHAnsi" w:hAnsiTheme="minorHAnsi"/>
          <w:sz w:val="24"/>
          <w:szCs w:val="24"/>
        </w:rPr>
        <w:t>Así, e</w:t>
      </w:r>
      <w:r w:rsidR="0059773E">
        <w:rPr>
          <w:rFonts w:asciiTheme="minorHAnsi" w:hAnsiTheme="minorHAnsi"/>
          <w:sz w:val="24"/>
          <w:szCs w:val="24"/>
        </w:rPr>
        <w:t xml:space="preserve">sta </w:t>
      </w:r>
      <w:r w:rsidR="000951F7">
        <w:rPr>
          <w:rFonts w:asciiTheme="minorHAnsi" w:hAnsiTheme="minorHAnsi"/>
          <w:sz w:val="24"/>
          <w:szCs w:val="24"/>
        </w:rPr>
        <w:t>Fundación ya</w:t>
      </w:r>
      <w:r w:rsidR="002B7BD1" w:rsidRPr="002B7BD1">
        <w:rPr>
          <w:rFonts w:asciiTheme="minorHAnsi" w:hAnsiTheme="minorHAnsi"/>
          <w:sz w:val="24"/>
          <w:szCs w:val="24"/>
        </w:rPr>
        <w:t xml:space="preserve"> organizó un Congreso Internacional del mismo nombre y una exposición paralela</w:t>
      </w:r>
      <w:r>
        <w:rPr>
          <w:rFonts w:asciiTheme="minorHAnsi" w:hAnsiTheme="minorHAnsi"/>
          <w:sz w:val="24"/>
          <w:szCs w:val="24"/>
        </w:rPr>
        <w:t xml:space="preserve"> junto con la Sociedad Estatal de Conmemoraciones Culturales (SECC)</w:t>
      </w:r>
      <w:r w:rsidR="0059773E">
        <w:rPr>
          <w:rFonts w:asciiTheme="minorHAnsi" w:hAnsiTheme="minorHAnsi"/>
          <w:sz w:val="24"/>
          <w:szCs w:val="24"/>
        </w:rPr>
        <w:t xml:space="preserve"> en 2009. </w:t>
      </w:r>
    </w:p>
    <w:p w:rsidR="00DB7D01" w:rsidRPr="00665415" w:rsidRDefault="00DB7D01" w:rsidP="004803A4">
      <w:pPr>
        <w:spacing w:line="360" w:lineRule="auto"/>
        <w:jc w:val="both"/>
        <w:rPr>
          <w:rFonts w:ascii="Arial Narrow" w:hAnsi="Arial Narrow" w:cs="Arial"/>
          <w:iCs/>
          <w:sz w:val="28"/>
          <w:szCs w:val="28"/>
        </w:rPr>
      </w:pPr>
    </w:p>
    <w:p w:rsidR="00BF5EFB" w:rsidRPr="00665415" w:rsidRDefault="00BF5EFB" w:rsidP="004803A4">
      <w:pPr>
        <w:spacing w:line="360" w:lineRule="auto"/>
        <w:jc w:val="both"/>
        <w:rPr>
          <w:rFonts w:ascii="Arial Narrow" w:hAnsi="Arial Narrow" w:cs="Arial"/>
          <w:iCs/>
          <w:sz w:val="28"/>
          <w:szCs w:val="28"/>
        </w:rPr>
      </w:pPr>
    </w:p>
    <w:p w:rsidR="00036EB4" w:rsidRPr="00A3238C" w:rsidRDefault="00036EB4" w:rsidP="00A3238C">
      <w:pPr>
        <w:spacing w:line="360" w:lineRule="auto"/>
        <w:jc w:val="both"/>
        <w:rPr>
          <w:sz w:val="28"/>
          <w:szCs w:val="28"/>
        </w:rPr>
      </w:pPr>
    </w:p>
    <w:p w:rsidR="00A3238C" w:rsidRDefault="00A3238C">
      <w:bookmarkStart w:id="1" w:name="sumario_2"/>
      <w:bookmarkEnd w:id="1"/>
    </w:p>
    <w:sectPr w:rsidR="00A3238C" w:rsidSect="00037F9E">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210" w:rsidRDefault="00F37210" w:rsidP="00DB7D01">
      <w:r>
        <w:separator/>
      </w:r>
    </w:p>
  </w:endnote>
  <w:endnote w:type="continuationSeparator" w:id="0">
    <w:p w:rsidR="00F37210" w:rsidRDefault="00F37210" w:rsidP="00DB7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922"/>
      <w:docPartObj>
        <w:docPartGallery w:val="Page Numbers (Bottom of Page)"/>
        <w:docPartUnique/>
      </w:docPartObj>
    </w:sdtPr>
    <w:sdtEndPr/>
    <w:sdtContent>
      <w:p w:rsidR="002B7BD1" w:rsidRDefault="00E86C25" w:rsidP="00E86C25">
        <w:pPr>
          <w:pStyle w:val="Piedepgina"/>
          <w:tabs>
            <w:tab w:val="left" w:pos="4105"/>
          </w:tabs>
        </w:pPr>
        <w:r w:rsidRPr="00E86C25">
          <w:rPr>
            <w:sz w:val="12"/>
            <w:szCs w:val="12"/>
          </w:rPr>
          <w:t>Colabora</w:t>
        </w:r>
        <w:r>
          <w:rPr>
            <w:sz w:val="12"/>
            <w:szCs w:val="12"/>
          </w:rPr>
          <w:t>:</w:t>
        </w:r>
        <w:r>
          <w:rPr>
            <w:noProof/>
          </w:rPr>
          <w:drawing>
            <wp:inline distT="0" distB="0" distL="0" distR="0" wp14:anchorId="3877E847" wp14:editId="6B16B8F8">
              <wp:extent cx="625291" cy="525438"/>
              <wp:effectExtent l="0" t="0" r="3810" b="825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onda Infinita.png"/>
                      <pic:cNvPicPr/>
                    </pic:nvPicPr>
                    <pic:blipFill>
                      <a:blip r:embed="rId1">
                        <a:extLst>
                          <a:ext uri="{28A0092B-C50C-407E-A947-70E740481C1C}">
                            <a14:useLocalDpi xmlns:a14="http://schemas.microsoft.com/office/drawing/2010/main" val="0"/>
                          </a:ext>
                        </a:extLst>
                      </a:blip>
                      <a:stretch>
                        <a:fillRect/>
                      </a:stretch>
                    </pic:blipFill>
                    <pic:spPr>
                      <a:xfrm>
                        <a:off x="0" y="0"/>
                        <a:ext cx="646870" cy="543571"/>
                      </a:xfrm>
                      <a:prstGeom prst="rect">
                        <a:avLst/>
                      </a:prstGeom>
                    </pic:spPr>
                  </pic:pic>
                </a:graphicData>
              </a:graphic>
            </wp:inline>
          </w:drawing>
        </w:r>
        <w:r>
          <w:rPr>
            <w:noProof/>
          </w:rPr>
          <w:drawing>
            <wp:inline distT="0" distB="0" distL="0" distR="0">
              <wp:extent cx="3028512" cy="634620"/>
              <wp:effectExtent l="0" t="0" r="63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 manco.jpg"/>
                      <pic:cNvPicPr/>
                    </pic:nvPicPr>
                    <pic:blipFill>
                      <a:blip r:embed="rId2">
                        <a:extLst>
                          <a:ext uri="{28A0092B-C50C-407E-A947-70E740481C1C}">
                            <a14:useLocalDpi xmlns:a14="http://schemas.microsoft.com/office/drawing/2010/main" val="0"/>
                          </a:ext>
                        </a:extLst>
                      </a:blip>
                      <a:stretch>
                        <a:fillRect/>
                      </a:stretch>
                    </pic:blipFill>
                    <pic:spPr>
                      <a:xfrm>
                        <a:off x="0" y="0"/>
                        <a:ext cx="3028512" cy="634620"/>
                      </a:xfrm>
                      <a:prstGeom prst="rect">
                        <a:avLst/>
                      </a:prstGeom>
                    </pic:spPr>
                  </pic:pic>
                </a:graphicData>
              </a:graphic>
            </wp:inline>
          </w:drawing>
        </w:r>
        <w:r>
          <w:tab/>
        </w:r>
        <w:r>
          <w:tab/>
        </w:r>
        <w:r w:rsidR="00971654">
          <w:rPr>
            <w:noProof/>
          </w:rPr>
          <w:fldChar w:fldCharType="begin"/>
        </w:r>
        <w:r w:rsidR="00971654">
          <w:rPr>
            <w:noProof/>
          </w:rPr>
          <w:instrText xml:space="preserve"> PAGE   \* MERGEFORMAT </w:instrText>
        </w:r>
        <w:r w:rsidR="00971654">
          <w:rPr>
            <w:noProof/>
          </w:rPr>
          <w:fldChar w:fldCharType="separate"/>
        </w:r>
        <w:r w:rsidR="00986DAE">
          <w:rPr>
            <w:noProof/>
          </w:rPr>
          <w:t>2</w:t>
        </w:r>
        <w:r w:rsidR="00971654">
          <w:rPr>
            <w:noProof/>
          </w:rPr>
          <w:fldChar w:fldCharType="end"/>
        </w:r>
      </w:p>
    </w:sdtContent>
  </w:sdt>
  <w:p w:rsidR="002B7BD1" w:rsidRDefault="002B7BD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210" w:rsidRDefault="00F37210" w:rsidP="00DB7D01">
      <w:r>
        <w:separator/>
      </w:r>
    </w:p>
  </w:footnote>
  <w:footnote w:type="continuationSeparator" w:id="0">
    <w:p w:rsidR="00F37210" w:rsidRDefault="00F37210" w:rsidP="00DB7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1F7" w:rsidRDefault="00E86C25" w:rsidP="00E86C25">
    <w:pPr>
      <w:pStyle w:val="Encabezado"/>
      <w:tabs>
        <w:tab w:val="clear" w:pos="8504"/>
        <w:tab w:val="left" w:pos="7680"/>
      </w:tabs>
      <w:jc w:val="center"/>
    </w:pPr>
    <w:r>
      <w:rPr>
        <w:noProof/>
      </w:rPr>
      <w:drawing>
        <wp:inline distT="0" distB="0" distL="0" distR="0">
          <wp:extent cx="3482552" cy="64826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 legado2017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08888" cy="65317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3A4"/>
    <w:rsid w:val="00036EB4"/>
    <w:rsid w:val="00037F9E"/>
    <w:rsid w:val="00056685"/>
    <w:rsid w:val="00061718"/>
    <w:rsid w:val="000951F7"/>
    <w:rsid w:val="000A661F"/>
    <w:rsid w:val="000B63B3"/>
    <w:rsid w:val="001B0AB2"/>
    <w:rsid w:val="002A6D8C"/>
    <w:rsid w:val="002B4953"/>
    <w:rsid w:val="002B7BD1"/>
    <w:rsid w:val="003C3814"/>
    <w:rsid w:val="003E6100"/>
    <w:rsid w:val="00432048"/>
    <w:rsid w:val="004803A4"/>
    <w:rsid w:val="00497AC1"/>
    <w:rsid w:val="00530D39"/>
    <w:rsid w:val="0058419C"/>
    <w:rsid w:val="0059773E"/>
    <w:rsid w:val="005A7D33"/>
    <w:rsid w:val="005D0994"/>
    <w:rsid w:val="00613954"/>
    <w:rsid w:val="006220BB"/>
    <w:rsid w:val="00640EA2"/>
    <w:rsid w:val="0065638A"/>
    <w:rsid w:val="00665415"/>
    <w:rsid w:val="006836BD"/>
    <w:rsid w:val="006C13D5"/>
    <w:rsid w:val="007247C3"/>
    <w:rsid w:val="00804641"/>
    <w:rsid w:val="00812128"/>
    <w:rsid w:val="00887BE7"/>
    <w:rsid w:val="009438A3"/>
    <w:rsid w:val="00971654"/>
    <w:rsid w:val="00986DAE"/>
    <w:rsid w:val="00A1429A"/>
    <w:rsid w:val="00A3238C"/>
    <w:rsid w:val="00A76DA0"/>
    <w:rsid w:val="00AC1F47"/>
    <w:rsid w:val="00B07339"/>
    <w:rsid w:val="00B76D31"/>
    <w:rsid w:val="00BF5EFB"/>
    <w:rsid w:val="00C36B38"/>
    <w:rsid w:val="00C46B2E"/>
    <w:rsid w:val="00C57918"/>
    <w:rsid w:val="00C90ADB"/>
    <w:rsid w:val="00DB7D01"/>
    <w:rsid w:val="00DD0B53"/>
    <w:rsid w:val="00E05907"/>
    <w:rsid w:val="00E277C2"/>
    <w:rsid w:val="00E86C25"/>
    <w:rsid w:val="00F37210"/>
    <w:rsid w:val="00F42387"/>
    <w:rsid w:val="00F92B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8F5703-6CCF-46C8-B0FA-02CA3EB0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3A4"/>
    <w:pPr>
      <w:spacing w:after="0" w:line="240" w:lineRule="auto"/>
    </w:pPr>
    <w:rPr>
      <w:rFonts w:ascii="Calibri" w:hAnsi="Calibri"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3238C"/>
    <w:pPr>
      <w:spacing w:before="100" w:beforeAutospacing="1" w:after="100" w:afterAutospacing="1"/>
    </w:pPr>
    <w:rPr>
      <w:rFonts w:ascii="Times New Roman" w:eastAsia="Times New Roman" w:hAnsi="Times New Roman"/>
      <w:sz w:val="24"/>
      <w:szCs w:val="24"/>
    </w:rPr>
  </w:style>
  <w:style w:type="paragraph" w:customStyle="1" w:styleId="textogrande">
    <w:name w:val="texto_grande"/>
    <w:basedOn w:val="Normal"/>
    <w:rsid w:val="00A3238C"/>
    <w:pPr>
      <w:spacing w:before="100" w:beforeAutospacing="1" w:after="100" w:afterAutospacing="1"/>
    </w:pPr>
    <w:rPr>
      <w:rFonts w:ascii="Times New Roman" w:eastAsia="Times New Roman" w:hAnsi="Times New Roman"/>
      <w:sz w:val="24"/>
      <w:szCs w:val="24"/>
    </w:rPr>
  </w:style>
  <w:style w:type="character" w:styleId="nfasis">
    <w:name w:val="Emphasis"/>
    <w:basedOn w:val="Fuentedeprrafopredeter"/>
    <w:uiPriority w:val="20"/>
    <w:qFormat/>
    <w:rsid w:val="00A3238C"/>
    <w:rPr>
      <w:i/>
      <w:iCs/>
    </w:rPr>
  </w:style>
  <w:style w:type="character" w:customStyle="1" w:styleId="apple-converted-space">
    <w:name w:val="apple-converted-space"/>
    <w:basedOn w:val="Fuentedeprrafopredeter"/>
    <w:rsid w:val="00A3238C"/>
  </w:style>
  <w:style w:type="paragraph" w:styleId="Sinespaciado">
    <w:name w:val="No Spacing"/>
    <w:basedOn w:val="Normal"/>
    <w:uiPriority w:val="1"/>
    <w:qFormat/>
    <w:rsid w:val="00A3238C"/>
  </w:style>
  <w:style w:type="paragraph" w:styleId="Encabezado">
    <w:name w:val="header"/>
    <w:basedOn w:val="Normal"/>
    <w:link w:val="EncabezadoCar"/>
    <w:uiPriority w:val="99"/>
    <w:unhideWhenUsed/>
    <w:rsid w:val="00DB7D01"/>
    <w:pPr>
      <w:tabs>
        <w:tab w:val="center" w:pos="4252"/>
        <w:tab w:val="right" w:pos="8504"/>
      </w:tabs>
    </w:pPr>
  </w:style>
  <w:style w:type="character" w:customStyle="1" w:styleId="EncabezadoCar">
    <w:name w:val="Encabezado Car"/>
    <w:basedOn w:val="Fuentedeprrafopredeter"/>
    <w:link w:val="Encabezado"/>
    <w:uiPriority w:val="99"/>
    <w:rsid w:val="00DB7D01"/>
    <w:rPr>
      <w:rFonts w:ascii="Calibri" w:hAnsi="Calibri" w:cs="Times New Roman"/>
      <w:lang w:eastAsia="es-ES"/>
    </w:rPr>
  </w:style>
  <w:style w:type="paragraph" w:styleId="Piedepgina">
    <w:name w:val="footer"/>
    <w:basedOn w:val="Normal"/>
    <w:link w:val="PiedepginaCar"/>
    <w:uiPriority w:val="99"/>
    <w:unhideWhenUsed/>
    <w:rsid w:val="00DB7D01"/>
    <w:pPr>
      <w:tabs>
        <w:tab w:val="center" w:pos="4252"/>
        <w:tab w:val="right" w:pos="8504"/>
      </w:tabs>
    </w:pPr>
  </w:style>
  <w:style w:type="character" w:customStyle="1" w:styleId="PiedepginaCar">
    <w:name w:val="Pie de página Car"/>
    <w:basedOn w:val="Fuentedeprrafopredeter"/>
    <w:link w:val="Piedepgina"/>
    <w:uiPriority w:val="99"/>
    <w:rsid w:val="00DB7D01"/>
    <w:rPr>
      <w:rFonts w:ascii="Calibri" w:hAnsi="Calibri" w:cs="Times New Roman"/>
      <w:lang w:eastAsia="es-ES"/>
    </w:rPr>
  </w:style>
  <w:style w:type="paragraph" w:styleId="Textodeglobo">
    <w:name w:val="Balloon Text"/>
    <w:basedOn w:val="Normal"/>
    <w:link w:val="TextodegloboCar"/>
    <w:uiPriority w:val="99"/>
    <w:semiHidden/>
    <w:unhideWhenUsed/>
    <w:rsid w:val="00665415"/>
    <w:rPr>
      <w:rFonts w:ascii="Tahoma" w:hAnsi="Tahoma" w:cs="Tahoma"/>
      <w:sz w:val="16"/>
      <w:szCs w:val="16"/>
    </w:rPr>
  </w:style>
  <w:style w:type="character" w:customStyle="1" w:styleId="TextodegloboCar">
    <w:name w:val="Texto de globo Car"/>
    <w:basedOn w:val="Fuentedeprrafopredeter"/>
    <w:link w:val="Textodeglobo"/>
    <w:uiPriority w:val="99"/>
    <w:semiHidden/>
    <w:rsid w:val="00665415"/>
    <w:rPr>
      <w:rFonts w:ascii="Tahoma"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811575">
      <w:bodyDiv w:val="1"/>
      <w:marLeft w:val="0"/>
      <w:marRight w:val="0"/>
      <w:marTop w:val="0"/>
      <w:marBottom w:val="0"/>
      <w:divBdr>
        <w:top w:val="none" w:sz="0" w:space="0" w:color="auto"/>
        <w:left w:val="none" w:sz="0" w:space="0" w:color="auto"/>
        <w:bottom w:val="none" w:sz="0" w:space="0" w:color="auto"/>
        <w:right w:val="none" w:sz="0" w:space="0" w:color="auto"/>
      </w:divBdr>
      <w:divsChild>
        <w:div w:id="826090243">
          <w:marLeft w:val="-1532"/>
          <w:marRight w:val="0"/>
          <w:marTop w:val="0"/>
          <w:marBottom w:val="460"/>
          <w:divBdr>
            <w:top w:val="none" w:sz="0" w:space="0" w:color="auto"/>
            <w:left w:val="none" w:sz="0" w:space="0" w:color="auto"/>
            <w:bottom w:val="none" w:sz="0" w:space="0" w:color="auto"/>
            <w:right w:val="none" w:sz="0" w:space="0" w:color="auto"/>
          </w:divBdr>
        </w:div>
        <w:div w:id="1817066782">
          <w:marLeft w:val="-1532"/>
          <w:marRight w:val="0"/>
          <w:marTop w:val="0"/>
          <w:marBottom w:val="460"/>
          <w:divBdr>
            <w:top w:val="none" w:sz="0" w:space="0" w:color="auto"/>
            <w:left w:val="none" w:sz="0" w:space="0" w:color="auto"/>
            <w:bottom w:val="none" w:sz="0" w:space="0" w:color="auto"/>
            <w:right w:val="none" w:sz="0" w:space="0" w:color="auto"/>
          </w:divBdr>
        </w:div>
      </w:divsChild>
    </w:div>
    <w:div w:id="1369718949">
      <w:bodyDiv w:val="1"/>
      <w:marLeft w:val="0"/>
      <w:marRight w:val="0"/>
      <w:marTop w:val="0"/>
      <w:marBottom w:val="0"/>
      <w:divBdr>
        <w:top w:val="none" w:sz="0" w:space="0" w:color="auto"/>
        <w:left w:val="none" w:sz="0" w:space="0" w:color="auto"/>
        <w:bottom w:val="none" w:sz="0" w:space="0" w:color="auto"/>
        <w:right w:val="none" w:sz="0" w:space="0" w:color="auto"/>
      </w:divBdr>
    </w:div>
    <w:div w:id="209127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427</Words>
  <Characters>2354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jsp</dc:creator>
  <cp:keywords/>
  <dc:description/>
  <cp:lastModifiedBy>Julia Sáiz-Pardo</cp:lastModifiedBy>
  <cp:revision>4</cp:revision>
  <dcterms:created xsi:type="dcterms:W3CDTF">2018-09-07T10:07:00Z</dcterms:created>
  <dcterms:modified xsi:type="dcterms:W3CDTF">2018-09-07T10:09:00Z</dcterms:modified>
</cp:coreProperties>
</file>